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E03" w:rsidRDefault="00812011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126"/>
        <w:gridCol w:w="425"/>
        <w:gridCol w:w="425"/>
        <w:gridCol w:w="851"/>
        <w:gridCol w:w="709"/>
        <w:gridCol w:w="2674"/>
      </w:tblGrid>
      <w:tr w:rsidR="00B75E03">
        <w:trPr>
          <w:trHeight w:val="605"/>
          <w:jc w:val="center"/>
        </w:trPr>
        <w:tc>
          <w:tcPr>
            <w:tcW w:w="2025" w:type="dxa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（中文）</w:t>
            </w:r>
          </w:p>
        </w:tc>
        <w:tc>
          <w:tcPr>
            <w:tcW w:w="7210" w:type="dxa"/>
            <w:gridSpan w:val="6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船用热固树脂玻璃纤维管材和管件</w:t>
            </w:r>
          </w:p>
        </w:tc>
      </w:tr>
      <w:tr w:rsidR="00B75E03">
        <w:trPr>
          <w:trHeight w:val="605"/>
          <w:jc w:val="center"/>
        </w:trPr>
        <w:tc>
          <w:tcPr>
            <w:tcW w:w="2025" w:type="dxa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（英文）</w:t>
            </w:r>
          </w:p>
        </w:tc>
        <w:tc>
          <w:tcPr>
            <w:tcW w:w="7210" w:type="dxa"/>
            <w:gridSpan w:val="6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Marine thermosetting resin glass </w:t>
            </w:r>
            <w:proofErr w:type="spellStart"/>
            <w:r>
              <w:rPr>
                <w:rFonts w:hint="eastAsia"/>
                <w:sz w:val="24"/>
              </w:rPr>
              <w:t>fiber</w:t>
            </w:r>
            <w:proofErr w:type="spellEnd"/>
            <w:r>
              <w:rPr>
                <w:rFonts w:hint="eastAsia"/>
                <w:sz w:val="24"/>
              </w:rPr>
              <w:t xml:space="preserve"> pipes and fittings</w:t>
            </w:r>
          </w:p>
        </w:tc>
      </w:tr>
      <w:tr w:rsidR="00B75E03">
        <w:trPr>
          <w:trHeight w:val="540"/>
          <w:jc w:val="center"/>
        </w:trPr>
        <w:tc>
          <w:tcPr>
            <w:tcW w:w="2025" w:type="dxa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26" w:type="dxa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☑制定   □修订</w:t>
            </w:r>
          </w:p>
        </w:tc>
        <w:tc>
          <w:tcPr>
            <w:tcW w:w="1701" w:type="dxa"/>
            <w:gridSpan w:val="3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 w:rsidR="00B75E03" w:rsidRDefault="0081201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</w:tr>
      <w:tr w:rsidR="00B75E03">
        <w:trPr>
          <w:trHeight w:val="540"/>
          <w:jc w:val="center"/>
        </w:trPr>
        <w:tc>
          <w:tcPr>
            <w:tcW w:w="2025" w:type="dxa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采标编号及名称</w:t>
            </w:r>
          </w:p>
        </w:tc>
        <w:tc>
          <w:tcPr>
            <w:tcW w:w="2126" w:type="dxa"/>
            <w:vAlign w:val="center"/>
          </w:tcPr>
          <w:p w:rsidR="00B75E03" w:rsidRDefault="00B75E03">
            <w:pPr>
              <w:jc w:val="center"/>
              <w:rPr>
                <w:rFonts w:hAnsi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采标形式</w:t>
            </w:r>
          </w:p>
        </w:tc>
        <w:tc>
          <w:tcPr>
            <w:tcW w:w="3383" w:type="dxa"/>
            <w:gridSpan w:val="2"/>
            <w:vAlign w:val="center"/>
          </w:tcPr>
          <w:p w:rsidR="00B75E03" w:rsidRDefault="00812011">
            <w:pPr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□等同采用   □修改采用</w:t>
            </w:r>
          </w:p>
          <w:p w:rsidR="00B75E03" w:rsidRDefault="00812011">
            <w:pPr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□非等效采用</w:t>
            </w:r>
          </w:p>
        </w:tc>
      </w:tr>
      <w:tr w:rsidR="00B75E03">
        <w:trPr>
          <w:trHeight w:val="540"/>
          <w:jc w:val="center"/>
        </w:trPr>
        <w:tc>
          <w:tcPr>
            <w:tcW w:w="2025" w:type="dxa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7210" w:type="dxa"/>
            <w:gridSpan w:val="6"/>
            <w:vAlign w:val="center"/>
          </w:tcPr>
          <w:p w:rsidR="00B75E03" w:rsidRDefault="00812011">
            <w:pPr>
              <w:rPr>
                <w:rFonts w:hAnsiTheme="minorEastAsia"/>
                <w:sz w:val="24"/>
                <w:u w:val="single"/>
              </w:rPr>
            </w:pPr>
            <w:r>
              <w:rPr>
                <w:rFonts w:hAnsiTheme="minorEastAsia" w:hint="eastAsia"/>
                <w:sz w:val="24"/>
              </w:rPr>
              <w:t>☑12个月   □18个月   □其他</w:t>
            </w:r>
            <w:r>
              <w:rPr>
                <w:rFonts w:hAnsiTheme="minorEastAsia" w:hint="eastAsia"/>
                <w:sz w:val="24"/>
                <w:u w:val="single"/>
              </w:rPr>
              <w:t xml:space="preserve">         </w:t>
            </w:r>
          </w:p>
        </w:tc>
      </w:tr>
      <w:tr w:rsidR="00B75E03">
        <w:trPr>
          <w:trHeight w:val="548"/>
          <w:jc w:val="center"/>
        </w:trPr>
        <w:tc>
          <w:tcPr>
            <w:tcW w:w="2025" w:type="dxa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7210" w:type="dxa"/>
            <w:gridSpan w:val="6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苏州久美玻璃钢股份有限公司</w:t>
            </w:r>
          </w:p>
        </w:tc>
      </w:tr>
      <w:tr w:rsidR="00B75E03">
        <w:trPr>
          <w:trHeight w:val="548"/>
          <w:jc w:val="center"/>
        </w:trPr>
        <w:tc>
          <w:tcPr>
            <w:tcW w:w="2025" w:type="dxa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6" w:type="dxa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刘燕 </w:t>
            </w:r>
          </w:p>
        </w:tc>
        <w:tc>
          <w:tcPr>
            <w:tcW w:w="850" w:type="dxa"/>
            <w:gridSpan w:val="2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上海市嘉定区银翔路</w:t>
            </w:r>
            <w:r>
              <w:rPr>
                <w:rFonts w:hint="eastAsia"/>
                <w:sz w:val="24"/>
                <w:lang w:val="en-US"/>
              </w:rPr>
              <w:t>819号1号楼1803-1804室</w:t>
            </w:r>
          </w:p>
        </w:tc>
      </w:tr>
      <w:tr w:rsidR="00B75E03">
        <w:trPr>
          <w:trHeight w:val="548"/>
          <w:jc w:val="center"/>
        </w:trPr>
        <w:tc>
          <w:tcPr>
            <w:tcW w:w="2025" w:type="dxa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26" w:type="dxa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18017870636</w:t>
            </w:r>
          </w:p>
        </w:tc>
        <w:tc>
          <w:tcPr>
            <w:tcW w:w="850" w:type="dxa"/>
            <w:gridSpan w:val="2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liuyan_1228@163.com</w:t>
            </w:r>
          </w:p>
        </w:tc>
      </w:tr>
      <w:tr w:rsidR="00B75E03">
        <w:trPr>
          <w:trHeight w:val="1102"/>
          <w:jc w:val="center"/>
        </w:trPr>
        <w:tc>
          <w:tcPr>
            <w:tcW w:w="2025" w:type="dxa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项目任务的</w:t>
            </w:r>
          </w:p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意义和必要性</w:t>
            </w:r>
          </w:p>
        </w:tc>
        <w:tc>
          <w:tcPr>
            <w:tcW w:w="7210" w:type="dxa"/>
            <w:gridSpan w:val="6"/>
          </w:tcPr>
          <w:p w:rsidR="00B75E03" w:rsidRDefault="00812011" w:rsidP="00812011">
            <w:pPr>
              <w:pStyle w:val="3"/>
              <w:widowControl/>
              <w:shd w:val="clear" w:color="auto" w:fill="FFFFFF"/>
              <w:snapToGrid w:val="0"/>
              <w:spacing w:beforeAutospacing="0" w:after="60" w:afterAutospacing="0"/>
              <w:ind w:firstLineChars="200" w:firstLine="480"/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  <w:lang w:val="en-GB"/>
              </w:rPr>
            </w:pP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随着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科学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技术的不断提高，</w:t>
            </w:r>
            <w:bookmarkStart w:id="0" w:name="_GoBack"/>
            <w:bookmarkEnd w:id="0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中国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船用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纤维管材和管件产业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也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逐步完善，它的性能也有了显著提升，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如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结构稳定、轻质高强、绝缘性能好、节能保温、减震、抗疲劳、抗腐蚀、成型加工便捷等特点。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加上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中国玻璃纤维行业还受到国家政策的支持，如政府实施的“玻璃纤维产业政策”、“中国制造2025”，以及支持重点领域产品的研发，这些政策都有助于促进中国玻璃纤维产业的发展。</w:t>
            </w:r>
          </w:p>
          <w:p w:rsidR="00B75E03" w:rsidRDefault="00812011" w:rsidP="00812011">
            <w:pPr>
              <w:pStyle w:val="3"/>
              <w:widowControl/>
              <w:shd w:val="clear" w:color="auto" w:fill="FFFFFF"/>
              <w:snapToGrid w:val="0"/>
              <w:spacing w:beforeAutospacing="0" w:after="60" w:afterAutospacing="0"/>
              <w:ind w:firstLineChars="200" w:firstLine="480"/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  <w:lang w:val="en-GB"/>
              </w:rPr>
            </w:pPr>
            <w:r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  <w:lang w:val="en-GB"/>
              </w:rPr>
              <w:t>基于以上因素，预计未来几年，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中国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船用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纤维管材和管件</w:t>
            </w:r>
            <w:r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  <w:lang w:val="en-GB"/>
              </w:rPr>
              <w:t>行业市场规模将进一步攀升，市场前景将更加光明。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目前我国已经成为全球最大的对外货物贸易国、全球第二大船东国和第一大造船国，</w:t>
            </w:r>
            <w:proofErr w:type="gramStart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热固树脂</w:t>
            </w:r>
            <w:proofErr w:type="gramEnd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玻璃纤维管材和管件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在船舶行业的应用，将</w:t>
            </w:r>
            <w:r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  <w:lang w:val="en-GB"/>
              </w:rPr>
              <w:t>取得更大的发展，为中国经济发展</w:t>
            </w:r>
            <w:proofErr w:type="gramStart"/>
            <w:r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  <w:lang w:val="en-GB"/>
              </w:rPr>
              <w:t>作出</w:t>
            </w:r>
            <w:proofErr w:type="gramEnd"/>
            <w:r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  <w:lang w:val="en-GB"/>
              </w:rPr>
              <w:t>更大贡献。</w:t>
            </w:r>
          </w:p>
          <w:p w:rsidR="00B75E03" w:rsidRDefault="00812011" w:rsidP="00812011">
            <w:pPr>
              <w:pStyle w:val="3"/>
              <w:widowControl/>
              <w:shd w:val="clear" w:color="auto" w:fill="FFFFFF"/>
              <w:snapToGrid w:val="0"/>
              <w:spacing w:beforeAutospacing="0" w:after="60" w:afterAutospacing="0"/>
              <w:ind w:firstLineChars="200" w:firstLine="480"/>
              <w:rPr>
                <w:rFonts w:hint="default"/>
                <w:sz w:val="24"/>
              </w:rPr>
            </w:pP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本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标准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的制定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可</w:t>
            </w:r>
            <w:proofErr w:type="gramStart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规范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热固树脂</w:t>
            </w:r>
            <w:proofErr w:type="gramEnd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玻璃纤维管材和管件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在船舶行业的应用，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可提高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产品的稳定性、可靠性、互换性和质量水平。</w:t>
            </w:r>
          </w:p>
        </w:tc>
      </w:tr>
      <w:tr w:rsidR="00B75E03">
        <w:trPr>
          <w:trHeight w:val="581"/>
          <w:jc w:val="center"/>
        </w:trPr>
        <w:tc>
          <w:tcPr>
            <w:tcW w:w="2025" w:type="dxa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标准适用范围</w:t>
            </w:r>
          </w:p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10" w:type="dxa"/>
            <w:gridSpan w:val="6"/>
          </w:tcPr>
          <w:p w:rsidR="00B75E03" w:rsidRDefault="00812011" w:rsidP="00812011">
            <w:pPr>
              <w:pStyle w:val="3"/>
              <w:widowControl/>
              <w:shd w:val="clear" w:color="auto" w:fill="FFFFFF"/>
              <w:snapToGrid w:val="0"/>
              <w:spacing w:beforeAutospacing="0" w:after="60" w:afterAutospacing="0"/>
              <w:ind w:firstLineChars="200" w:firstLine="480"/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  <w:lang w:val="en-GB"/>
              </w:rPr>
            </w:pP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本标准规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定了</w:t>
            </w:r>
            <w:proofErr w:type="gramStart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船用热固树脂</w:t>
            </w:r>
            <w:proofErr w:type="gramEnd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玻璃纤维管材和管件的分类、技术要求、试验方法、检验规则和标志、包装、运输和贮存。</w:t>
            </w:r>
          </w:p>
          <w:p w:rsidR="00B75E03" w:rsidRDefault="00812011" w:rsidP="00812011">
            <w:pPr>
              <w:pStyle w:val="3"/>
              <w:widowControl/>
              <w:shd w:val="clear" w:color="auto" w:fill="FFFFFF"/>
              <w:snapToGrid w:val="0"/>
              <w:spacing w:beforeAutospacing="0" w:after="60" w:afterAutospacing="0"/>
              <w:ind w:firstLineChars="200" w:firstLine="480"/>
              <w:rPr>
                <w:rFonts w:hint="default"/>
                <w:i/>
                <w:sz w:val="24"/>
                <w:u w:val="single"/>
              </w:rPr>
            </w:pP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本标准适用于以玻璃纤维及其制品为增强材料，热固性树脂为基体制成的承受内压的船用压力管的设计、制造和交付，应用场合包括：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en-GB"/>
              </w:rPr>
              <w:t>压载，舱底，冷却水，脱硫，脱硝，通风管道，生活用水和次要管线；海洋工程可参考应用。</w:t>
            </w:r>
          </w:p>
        </w:tc>
      </w:tr>
      <w:tr w:rsidR="00B75E03">
        <w:trPr>
          <w:trHeight w:val="834"/>
          <w:jc w:val="center"/>
        </w:trPr>
        <w:tc>
          <w:tcPr>
            <w:tcW w:w="2025" w:type="dxa"/>
            <w:vAlign w:val="center"/>
          </w:tcPr>
          <w:p w:rsidR="00B75E03" w:rsidRDefault="00812011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国内外情况简要说明</w:t>
            </w:r>
          </w:p>
        </w:tc>
        <w:tc>
          <w:tcPr>
            <w:tcW w:w="7210" w:type="dxa"/>
            <w:gridSpan w:val="6"/>
          </w:tcPr>
          <w:p w:rsidR="00B75E03" w:rsidRDefault="00812011" w:rsidP="00812011">
            <w:pPr>
              <w:pStyle w:val="3"/>
              <w:widowControl/>
              <w:shd w:val="clear" w:color="auto" w:fill="FFFFFF"/>
              <w:snapToGrid w:val="0"/>
              <w:spacing w:beforeAutospacing="0" w:after="60" w:afterAutospacing="0"/>
              <w:ind w:firstLineChars="200" w:firstLine="480"/>
              <w:rPr>
                <w:rFonts w:ascii="黑体" w:eastAsia="黑体" w:hint="default"/>
                <w:color w:val="000000"/>
                <w:sz w:val="24"/>
              </w:rPr>
            </w:pP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受全球工业增长驱动，玻璃纤维市场平均年增长速度为7%。目前，玻璃纤维增强材料的全球市场总价值达70亿美元。加上船舶行业的迅猛发懂，其特性能够满足受可持续发展需求和迅速增长的市场需求。但是国内外无相关的</w:t>
            </w:r>
            <w:proofErr w:type="gramStart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船用热固树脂</w:t>
            </w:r>
            <w:proofErr w:type="gramEnd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玻璃纤维管材和管件的产品标准，只有一份修改采用ISO</w:t>
            </w:r>
            <w:r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</w:rPr>
              <w:t xml:space="preserve"> 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15840：2004的GB/T 34030-2017《船舶和海上技术 船用热固树脂玻璃纤维管及附件技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lastRenderedPageBreak/>
              <w:t>术要求》，该标准是技术要求，并非产品标准；该标准2004年制定，其技术和要求已落后近20年，不适应</w:t>
            </w:r>
            <w:proofErr w:type="gramStart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现有热固树脂</w:t>
            </w:r>
            <w:proofErr w:type="gramEnd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玻璃纤维管材和管件技术在船舶行业的应用；不适应中国船级社《钢质海船入级规范2022》中规定的强度、内压、外压、耐火性、</w:t>
            </w:r>
            <w:proofErr w:type="gramStart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播焰性</w:t>
            </w:r>
            <w:proofErr w:type="gramEnd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等最新要求；不适应现有的常用管材和管件的应用范围，此标准规定的不大于DN1200，现常用船用管子的公称内径已经达到1900mm，且随着产品质量的广泛使用，其应用的场合包括：压载，舱底，冷却水，脱硫，脱硝，通风管道，生活用水和次要管线等。综上所述，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zh-CN"/>
              </w:rPr>
              <w:t>为规范市场、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提高安全、促进产品质量，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zh-CN"/>
              </w:rPr>
              <w:t>制定相应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的</w:t>
            </w:r>
            <w:proofErr w:type="gramStart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船用热固树脂</w:t>
            </w:r>
            <w:proofErr w:type="gramEnd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玻璃纤维管材和管件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  <w:lang w:val="zh-CN"/>
              </w:rPr>
              <w:t>标准势在必行。</w:t>
            </w:r>
          </w:p>
        </w:tc>
      </w:tr>
      <w:tr w:rsidR="00B75E03">
        <w:trPr>
          <w:trHeight w:val="834"/>
          <w:jc w:val="center"/>
        </w:trPr>
        <w:tc>
          <w:tcPr>
            <w:tcW w:w="2025" w:type="dxa"/>
            <w:vAlign w:val="center"/>
          </w:tcPr>
          <w:p w:rsidR="00B75E03" w:rsidRDefault="00812011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技术基础及</w:t>
            </w:r>
          </w:p>
          <w:p w:rsidR="00B75E03" w:rsidRDefault="00812011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研究团队</w:t>
            </w:r>
          </w:p>
        </w:tc>
        <w:tc>
          <w:tcPr>
            <w:tcW w:w="7210" w:type="dxa"/>
            <w:gridSpan w:val="6"/>
          </w:tcPr>
          <w:p w:rsidR="00B75E03" w:rsidRDefault="00812011" w:rsidP="00812011">
            <w:pPr>
              <w:pStyle w:val="3"/>
              <w:widowControl/>
              <w:shd w:val="clear" w:color="auto" w:fill="FFFFFF"/>
              <w:snapToGrid w:val="0"/>
              <w:spacing w:beforeAutospacing="0" w:after="60" w:afterAutospacing="0"/>
              <w:ind w:firstLineChars="200" w:firstLine="480"/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</w:rPr>
            </w:pP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本标准的主要起草单位，拥有先进管道管材生产线，包括自主研发的18轴自动化管道缠绕固化一体生产线、双轴和四轴缠绕生产线、管件缠绕设备、特高压绝缘子生产线等生产设备，同时配备各种先进的检验、试验设备、目前生产能力达8300余吨。取得了ABS、CCS、BV、DNV-GL、KR、NK、RINA、LR、RMRS的认证，产品还通过美国西南研究院Jet Fire耐喷火实验，标志着产品技术达到国际先进水平。</w:t>
            </w:r>
          </w:p>
          <w:p w:rsidR="00B75E03" w:rsidRDefault="00812011" w:rsidP="00812011">
            <w:pPr>
              <w:pStyle w:val="3"/>
              <w:widowControl/>
              <w:shd w:val="clear" w:color="auto" w:fill="FFFFFF"/>
              <w:snapToGrid w:val="0"/>
              <w:spacing w:beforeAutospacing="0" w:after="60" w:afterAutospacing="0"/>
              <w:ind w:firstLineChars="200" w:firstLine="480"/>
              <w:rPr>
                <w:rFonts w:hint="default"/>
                <w:sz w:val="24"/>
              </w:rPr>
            </w:pP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企业通过江苏省省级企业技术中心（研发中心）资格。协同上海</w:t>
            </w:r>
            <w:proofErr w:type="gramStart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研</w:t>
            </w:r>
            <w:proofErr w:type="gramEnd"/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途船舶海事技术有限公司等共同编制本项团体标准。</w:t>
            </w:r>
          </w:p>
        </w:tc>
      </w:tr>
      <w:tr w:rsidR="00B75E03">
        <w:trPr>
          <w:trHeight w:val="944"/>
          <w:jc w:val="center"/>
        </w:trPr>
        <w:tc>
          <w:tcPr>
            <w:tcW w:w="2025" w:type="dxa"/>
            <w:vAlign w:val="center"/>
          </w:tcPr>
          <w:p w:rsidR="00B75E03" w:rsidRDefault="0081201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申请立项单位意见</w:t>
            </w:r>
          </w:p>
        </w:tc>
        <w:tc>
          <w:tcPr>
            <w:tcW w:w="7210" w:type="dxa"/>
            <w:gridSpan w:val="6"/>
            <w:vAlign w:val="bottom"/>
          </w:tcPr>
          <w:p w:rsidR="00B75E03" w:rsidRDefault="00812011" w:rsidP="00812011">
            <w:pPr>
              <w:snapToGrid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 w:rsidR="00B75E03" w:rsidRDefault="00812011" w:rsidP="00812011">
            <w:pPr>
              <w:snapToGrid w:val="0"/>
              <w:jc w:val="right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 w:rsidR="00B75E03">
        <w:trPr>
          <w:trHeight w:val="1890"/>
          <w:jc w:val="center"/>
        </w:trPr>
        <w:tc>
          <w:tcPr>
            <w:tcW w:w="2025" w:type="dxa"/>
            <w:vAlign w:val="center"/>
          </w:tcPr>
          <w:p w:rsidR="00B75E03" w:rsidRDefault="008120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标准化学术委员会意见</w:t>
            </w:r>
          </w:p>
        </w:tc>
        <w:tc>
          <w:tcPr>
            <w:tcW w:w="2551" w:type="dxa"/>
            <w:gridSpan w:val="2"/>
            <w:vAlign w:val="bottom"/>
          </w:tcPr>
          <w:p w:rsidR="00B75E03" w:rsidRDefault="00812011" w:rsidP="00812011">
            <w:pPr>
              <w:snapToGrid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</w:t>
            </w:r>
          </w:p>
          <w:p w:rsidR="00B75E03" w:rsidRDefault="00B75E03" w:rsidP="00812011">
            <w:pPr>
              <w:snapToGrid w:val="0"/>
              <w:jc w:val="right"/>
              <w:rPr>
                <w:sz w:val="24"/>
              </w:rPr>
            </w:pPr>
          </w:p>
          <w:p w:rsidR="00B75E03" w:rsidRDefault="00B75E03" w:rsidP="00812011">
            <w:pPr>
              <w:snapToGrid w:val="0"/>
              <w:jc w:val="right"/>
              <w:rPr>
                <w:sz w:val="24"/>
              </w:rPr>
            </w:pPr>
          </w:p>
          <w:p w:rsidR="00B75E03" w:rsidRDefault="00812011" w:rsidP="00812011">
            <w:pPr>
              <w:snapToGrid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 w:rsidR="00B75E03" w:rsidRDefault="00812011" w:rsidP="00812011">
            <w:pPr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中国造船工程学</w:t>
            </w:r>
            <w:proofErr w:type="gramStart"/>
            <w:r>
              <w:rPr>
                <w:rFonts w:hint="eastAsia"/>
                <w:sz w:val="24"/>
              </w:rPr>
              <w:t>会意见</w:t>
            </w:r>
            <w:proofErr w:type="gramEnd"/>
          </w:p>
        </w:tc>
        <w:tc>
          <w:tcPr>
            <w:tcW w:w="2674" w:type="dxa"/>
            <w:vAlign w:val="bottom"/>
          </w:tcPr>
          <w:p w:rsidR="00B75E03" w:rsidRDefault="00812011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        </w:t>
            </w:r>
          </w:p>
          <w:p w:rsidR="00B75E03" w:rsidRDefault="00B75E03">
            <w:pPr>
              <w:jc w:val="right"/>
              <w:rPr>
                <w:sz w:val="24"/>
              </w:rPr>
            </w:pPr>
          </w:p>
          <w:p w:rsidR="00B75E03" w:rsidRDefault="00B75E03">
            <w:pPr>
              <w:jc w:val="right"/>
              <w:rPr>
                <w:sz w:val="24"/>
              </w:rPr>
            </w:pPr>
          </w:p>
          <w:p w:rsidR="00B75E03" w:rsidRDefault="00812011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:rsidR="00B75E03" w:rsidRDefault="00812011">
      <w:pPr>
        <w:jc w:val="left"/>
      </w:pPr>
      <w:r>
        <w:rPr>
          <w:rFonts w:hAnsiTheme="minorEastAsia" w:hint="eastAsia"/>
        </w:rPr>
        <w:t>注：如本表空间不够，可另附页。</w:t>
      </w:r>
    </w:p>
    <w:sectPr w:rsidR="00B75E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3M2UzMjk3Mzc4NTdmMTA4MjRhYjJkNzg0MDgyOWMifQ=="/>
  </w:docVars>
  <w:rsids>
    <w:rsidRoot w:val="00EB3B78"/>
    <w:rsid w:val="00082D0D"/>
    <w:rsid w:val="00812011"/>
    <w:rsid w:val="00B439F8"/>
    <w:rsid w:val="00B75E03"/>
    <w:rsid w:val="00EB3B78"/>
    <w:rsid w:val="09440A55"/>
    <w:rsid w:val="0DF2322A"/>
    <w:rsid w:val="188A435E"/>
    <w:rsid w:val="1C1F6909"/>
    <w:rsid w:val="1E092E35"/>
    <w:rsid w:val="209249D8"/>
    <w:rsid w:val="20F74A79"/>
    <w:rsid w:val="2147798C"/>
    <w:rsid w:val="22F369D5"/>
    <w:rsid w:val="2370535F"/>
    <w:rsid w:val="2526488E"/>
    <w:rsid w:val="25C21845"/>
    <w:rsid w:val="30553E1B"/>
    <w:rsid w:val="33F24A86"/>
    <w:rsid w:val="37A12A44"/>
    <w:rsid w:val="44250C7A"/>
    <w:rsid w:val="46F353C9"/>
    <w:rsid w:val="4B4148EB"/>
    <w:rsid w:val="4F257FB3"/>
    <w:rsid w:val="50CA45A4"/>
    <w:rsid w:val="5BC85F49"/>
    <w:rsid w:val="62B36F11"/>
    <w:rsid w:val="6F881820"/>
    <w:rsid w:val="72734A09"/>
    <w:rsid w:val="74CC6652"/>
    <w:rsid w:val="77630D60"/>
    <w:rsid w:val="7AF72BF0"/>
    <w:rsid w:val="7D28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BB6591-C6C0-427A-9030-352CE7C9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uiPriority="0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EastAsia" w:eastAsiaTheme="minorEastAsia" w:hAnsiTheme="minorHAnsi"/>
      <w:snapToGrid w:val="0"/>
      <w:sz w:val="21"/>
      <w:szCs w:val="21"/>
      <w:lang w:val="en-GB"/>
    </w:rPr>
  </w:style>
  <w:style w:type="paragraph" w:styleId="3">
    <w:name w:val="heading 3"/>
    <w:basedOn w:val="a"/>
    <w:next w:val="a"/>
    <w:uiPriority w:val="9"/>
    <w:unhideWhenUsed/>
    <w:qFormat/>
    <w:pPr>
      <w:spacing w:beforeAutospacing="1" w:afterAutospacing="1"/>
      <w:jc w:val="left"/>
      <w:outlineLvl w:val="2"/>
    </w:pPr>
    <w:rPr>
      <w:rFonts w:ascii="宋体" w:eastAsia="宋体" w:hAnsi="宋体" w:hint="eastAsia"/>
      <w:b/>
      <w:bCs/>
      <w:sz w:val="27"/>
      <w:szCs w:val="27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wordWrap w:val="0"/>
      <w:spacing w:after="60" w:line="312" w:lineRule="auto"/>
      <w:ind w:firstLine="567"/>
    </w:pPr>
    <w:rPr>
      <w:rFonts w:ascii="Arial" w:hAnsi="Arial"/>
      <w:sz w:val="28"/>
    </w:rPr>
  </w:style>
  <w:style w:type="paragraph" w:styleId="30">
    <w:name w:val="toc 3"/>
    <w:basedOn w:val="a"/>
    <w:next w:val="a"/>
    <w:qFormat/>
    <w:pPr>
      <w:tabs>
        <w:tab w:val="right" w:leader="dot" w:pos="9241"/>
      </w:tabs>
      <w:ind w:firstLineChars="100" w:firstLine="102"/>
      <w:jc w:val="left"/>
    </w:pPr>
    <w:rPr>
      <w:rFonts w:ascii="宋体"/>
    </w:rPr>
  </w:style>
  <w:style w:type="paragraph" w:styleId="a4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sz w:val="24"/>
      <w:lang w:val="en-US"/>
    </w:rPr>
  </w:style>
  <w:style w:type="paragraph" w:customStyle="1" w:styleId="a5">
    <w:name w:val="标准文件_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262</Words>
  <Characters>1499</Characters>
  <Application>Microsoft Office Word</Application>
  <DocSecurity>0</DocSecurity>
  <Lines>12</Lines>
  <Paragraphs>3</Paragraphs>
  <ScaleCrop>false</ScaleCrop>
  <Company>Microsoft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2022-08-15T06:27:00Z</dcterms:created>
  <dcterms:modified xsi:type="dcterms:W3CDTF">2023-06-02T03:24:00Z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EDCC3C4C26A74D209EBE0E057AC046A3</vt:lpwstr>
  </property>
</Properties>
</file>