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F65560" w14:textId="77777777" w:rsidR="00E73ECC" w:rsidRDefault="00263061">
      <w:pPr>
        <w:spacing w:line="360" w:lineRule="auto"/>
        <w:jc w:val="left"/>
        <w:rPr>
          <w:rFonts w:ascii="黑体" w:eastAsia="黑体" w:hAnsi="华文细黑"/>
          <w:sz w:val="24"/>
        </w:rPr>
      </w:pPr>
      <w:r>
        <w:rPr>
          <w:rFonts w:ascii="黑体" w:eastAsia="黑体" w:hAnsi="华文细黑" w:hint="eastAsia"/>
          <w:sz w:val="24"/>
        </w:rPr>
        <w:t>附件1</w:t>
      </w:r>
    </w:p>
    <w:p w14:paraId="5A3639D0" w14:textId="77777777" w:rsidR="00E73ECC" w:rsidRDefault="00263061">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E73ECC" w14:paraId="7C72AD78" w14:textId="77777777">
        <w:trPr>
          <w:trHeight w:val="605"/>
          <w:jc w:val="center"/>
        </w:trPr>
        <w:tc>
          <w:tcPr>
            <w:tcW w:w="2025" w:type="dxa"/>
            <w:vAlign w:val="center"/>
          </w:tcPr>
          <w:p w14:paraId="6D54B6A7" w14:textId="77777777" w:rsidR="00E73ECC" w:rsidRDefault="00263061">
            <w:pPr>
              <w:jc w:val="center"/>
              <w:rPr>
                <w:sz w:val="24"/>
              </w:rPr>
            </w:pPr>
            <w:r>
              <w:rPr>
                <w:rFonts w:hint="eastAsia"/>
                <w:sz w:val="24"/>
              </w:rPr>
              <w:t>项目名称</w:t>
            </w:r>
          </w:p>
          <w:p w14:paraId="65F0198E" w14:textId="77777777" w:rsidR="00E73ECC" w:rsidRDefault="00263061">
            <w:pPr>
              <w:jc w:val="center"/>
              <w:rPr>
                <w:sz w:val="24"/>
              </w:rPr>
            </w:pPr>
            <w:r>
              <w:rPr>
                <w:rFonts w:hint="eastAsia"/>
                <w:sz w:val="24"/>
              </w:rPr>
              <w:t>（中文）</w:t>
            </w:r>
          </w:p>
        </w:tc>
        <w:tc>
          <w:tcPr>
            <w:tcW w:w="7210" w:type="dxa"/>
            <w:gridSpan w:val="6"/>
            <w:vAlign w:val="center"/>
          </w:tcPr>
          <w:p w14:paraId="47114436" w14:textId="0ABBE445" w:rsidR="00E73ECC" w:rsidRDefault="00263061">
            <w:pPr>
              <w:jc w:val="center"/>
              <w:rPr>
                <w:sz w:val="24"/>
              </w:rPr>
            </w:pPr>
            <w:r>
              <w:rPr>
                <w:rFonts w:hint="eastAsia"/>
                <w:sz w:val="24"/>
              </w:rPr>
              <w:t>油船智能货物管理系统测试要求</w:t>
            </w:r>
          </w:p>
        </w:tc>
      </w:tr>
      <w:tr w:rsidR="00E73ECC" w14:paraId="6F1FE497" w14:textId="77777777">
        <w:trPr>
          <w:trHeight w:val="605"/>
          <w:jc w:val="center"/>
        </w:trPr>
        <w:tc>
          <w:tcPr>
            <w:tcW w:w="2025" w:type="dxa"/>
            <w:vAlign w:val="center"/>
          </w:tcPr>
          <w:p w14:paraId="5675DD56" w14:textId="77777777" w:rsidR="00E73ECC" w:rsidRDefault="00263061">
            <w:pPr>
              <w:jc w:val="center"/>
              <w:rPr>
                <w:sz w:val="24"/>
              </w:rPr>
            </w:pPr>
            <w:r>
              <w:rPr>
                <w:rFonts w:hint="eastAsia"/>
                <w:sz w:val="24"/>
              </w:rPr>
              <w:t>项目名称</w:t>
            </w:r>
          </w:p>
          <w:p w14:paraId="02B9191E" w14:textId="77777777" w:rsidR="00E73ECC" w:rsidRDefault="00263061">
            <w:pPr>
              <w:jc w:val="center"/>
              <w:rPr>
                <w:sz w:val="24"/>
              </w:rPr>
            </w:pPr>
            <w:r>
              <w:rPr>
                <w:rFonts w:hint="eastAsia"/>
                <w:sz w:val="24"/>
              </w:rPr>
              <w:t>（英文）</w:t>
            </w:r>
          </w:p>
        </w:tc>
        <w:tc>
          <w:tcPr>
            <w:tcW w:w="7210" w:type="dxa"/>
            <w:gridSpan w:val="6"/>
            <w:vAlign w:val="center"/>
          </w:tcPr>
          <w:p w14:paraId="12054475" w14:textId="361217E6" w:rsidR="00E73ECC" w:rsidRPr="00263061" w:rsidRDefault="00263061">
            <w:pPr>
              <w:jc w:val="center"/>
              <w:rPr>
                <w:sz w:val="24"/>
                <w:lang w:val="en-US"/>
              </w:rPr>
            </w:pPr>
            <w:r w:rsidRPr="00263061">
              <w:rPr>
                <w:sz w:val="24"/>
              </w:rPr>
              <w:t>Tanker intelligent cargo management system test requirements</w:t>
            </w:r>
          </w:p>
        </w:tc>
      </w:tr>
      <w:tr w:rsidR="00E73ECC" w14:paraId="033A5116" w14:textId="77777777">
        <w:trPr>
          <w:trHeight w:val="540"/>
          <w:jc w:val="center"/>
        </w:trPr>
        <w:tc>
          <w:tcPr>
            <w:tcW w:w="2025" w:type="dxa"/>
            <w:vAlign w:val="center"/>
          </w:tcPr>
          <w:p w14:paraId="35916C84" w14:textId="77777777" w:rsidR="00E73ECC" w:rsidRDefault="00263061">
            <w:pPr>
              <w:jc w:val="center"/>
              <w:rPr>
                <w:sz w:val="24"/>
              </w:rPr>
            </w:pPr>
            <w:r>
              <w:rPr>
                <w:rFonts w:hint="eastAsia"/>
                <w:sz w:val="24"/>
              </w:rPr>
              <w:t>制修订</w:t>
            </w:r>
          </w:p>
        </w:tc>
        <w:tc>
          <w:tcPr>
            <w:tcW w:w="2126" w:type="dxa"/>
            <w:vAlign w:val="center"/>
          </w:tcPr>
          <w:p w14:paraId="26FCE0F1" w14:textId="77777777" w:rsidR="00E73ECC" w:rsidRDefault="00263061">
            <w:pPr>
              <w:jc w:val="center"/>
              <w:rPr>
                <w:sz w:val="24"/>
              </w:rPr>
            </w:pPr>
            <w:r>
              <w:rPr>
                <w:rFonts w:hAnsiTheme="minorEastAsia" w:hint="eastAsia"/>
                <w:sz w:val="24"/>
              </w:rPr>
              <w:t>☑制定   □修订</w:t>
            </w:r>
          </w:p>
        </w:tc>
        <w:tc>
          <w:tcPr>
            <w:tcW w:w="1701" w:type="dxa"/>
            <w:gridSpan w:val="3"/>
            <w:vAlign w:val="center"/>
          </w:tcPr>
          <w:p w14:paraId="4E4E40FC" w14:textId="77777777" w:rsidR="00E73ECC" w:rsidRDefault="00263061">
            <w:pPr>
              <w:jc w:val="center"/>
              <w:rPr>
                <w:sz w:val="24"/>
              </w:rPr>
            </w:pPr>
            <w:r>
              <w:rPr>
                <w:rFonts w:hint="eastAsia"/>
                <w:sz w:val="24"/>
              </w:rPr>
              <w:t>被修订标准号</w:t>
            </w:r>
          </w:p>
        </w:tc>
        <w:tc>
          <w:tcPr>
            <w:tcW w:w="3383" w:type="dxa"/>
            <w:gridSpan w:val="2"/>
            <w:vAlign w:val="center"/>
          </w:tcPr>
          <w:p w14:paraId="2B1FEFAC" w14:textId="77777777" w:rsidR="00E73ECC" w:rsidRDefault="00263061">
            <w:pPr>
              <w:rPr>
                <w:sz w:val="24"/>
              </w:rPr>
            </w:pPr>
            <w:r>
              <w:rPr>
                <w:rFonts w:hint="eastAsia"/>
                <w:sz w:val="24"/>
              </w:rPr>
              <w:t xml:space="preserve">   </w:t>
            </w:r>
          </w:p>
        </w:tc>
      </w:tr>
      <w:tr w:rsidR="00E73ECC" w14:paraId="48203337" w14:textId="77777777">
        <w:trPr>
          <w:trHeight w:val="540"/>
          <w:jc w:val="center"/>
        </w:trPr>
        <w:tc>
          <w:tcPr>
            <w:tcW w:w="2025" w:type="dxa"/>
            <w:vAlign w:val="center"/>
          </w:tcPr>
          <w:p w14:paraId="6F4563EC" w14:textId="77777777" w:rsidR="00E73ECC" w:rsidRDefault="00263061">
            <w:pPr>
              <w:jc w:val="center"/>
              <w:rPr>
                <w:sz w:val="24"/>
              </w:rPr>
            </w:pPr>
            <w:r>
              <w:rPr>
                <w:rFonts w:hint="eastAsia"/>
                <w:sz w:val="24"/>
              </w:rPr>
              <w:t>采标编号及名称</w:t>
            </w:r>
          </w:p>
        </w:tc>
        <w:tc>
          <w:tcPr>
            <w:tcW w:w="2126" w:type="dxa"/>
            <w:vAlign w:val="center"/>
          </w:tcPr>
          <w:p w14:paraId="54175803" w14:textId="77777777" w:rsidR="00E73ECC" w:rsidRDefault="00E73ECC">
            <w:pPr>
              <w:jc w:val="center"/>
              <w:rPr>
                <w:rFonts w:hAnsiTheme="minorEastAsia"/>
                <w:sz w:val="24"/>
              </w:rPr>
            </w:pPr>
          </w:p>
        </w:tc>
        <w:tc>
          <w:tcPr>
            <w:tcW w:w="1701" w:type="dxa"/>
            <w:gridSpan w:val="3"/>
            <w:vAlign w:val="center"/>
          </w:tcPr>
          <w:p w14:paraId="1E983EA3" w14:textId="77777777" w:rsidR="00E73ECC" w:rsidRDefault="00263061">
            <w:pPr>
              <w:jc w:val="center"/>
              <w:rPr>
                <w:sz w:val="24"/>
              </w:rPr>
            </w:pPr>
            <w:r>
              <w:rPr>
                <w:rFonts w:hint="eastAsia"/>
                <w:sz w:val="24"/>
              </w:rPr>
              <w:t>采标形式</w:t>
            </w:r>
          </w:p>
        </w:tc>
        <w:tc>
          <w:tcPr>
            <w:tcW w:w="3383" w:type="dxa"/>
            <w:gridSpan w:val="2"/>
            <w:vAlign w:val="center"/>
          </w:tcPr>
          <w:p w14:paraId="51A7BAFF" w14:textId="77777777" w:rsidR="00E73ECC" w:rsidRDefault="00263061">
            <w:pPr>
              <w:rPr>
                <w:rFonts w:hAnsiTheme="minorEastAsia"/>
                <w:sz w:val="24"/>
              </w:rPr>
            </w:pPr>
            <w:r>
              <w:rPr>
                <w:rFonts w:hAnsiTheme="minorEastAsia" w:hint="eastAsia"/>
                <w:sz w:val="24"/>
              </w:rPr>
              <w:t>□等同采用   □修改采用</w:t>
            </w:r>
          </w:p>
          <w:p w14:paraId="2ABDA2ED" w14:textId="77777777" w:rsidR="00E73ECC" w:rsidRDefault="00263061">
            <w:pPr>
              <w:rPr>
                <w:sz w:val="24"/>
              </w:rPr>
            </w:pPr>
            <w:r>
              <w:rPr>
                <w:rFonts w:hAnsiTheme="minorEastAsia" w:hint="eastAsia"/>
                <w:sz w:val="24"/>
              </w:rPr>
              <w:t>□非等效采用</w:t>
            </w:r>
          </w:p>
        </w:tc>
      </w:tr>
      <w:tr w:rsidR="00E73ECC" w14:paraId="758A1683" w14:textId="77777777">
        <w:trPr>
          <w:trHeight w:val="540"/>
          <w:jc w:val="center"/>
        </w:trPr>
        <w:tc>
          <w:tcPr>
            <w:tcW w:w="2025" w:type="dxa"/>
            <w:vAlign w:val="center"/>
          </w:tcPr>
          <w:p w14:paraId="1659AC02" w14:textId="77777777" w:rsidR="00E73ECC" w:rsidRDefault="00263061">
            <w:pPr>
              <w:jc w:val="center"/>
              <w:rPr>
                <w:sz w:val="24"/>
              </w:rPr>
            </w:pPr>
            <w:r>
              <w:rPr>
                <w:rFonts w:hint="eastAsia"/>
                <w:sz w:val="24"/>
              </w:rPr>
              <w:t>编制周期</w:t>
            </w:r>
          </w:p>
        </w:tc>
        <w:tc>
          <w:tcPr>
            <w:tcW w:w="7210" w:type="dxa"/>
            <w:gridSpan w:val="6"/>
            <w:vAlign w:val="center"/>
          </w:tcPr>
          <w:p w14:paraId="09289934" w14:textId="77777777" w:rsidR="00E73ECC" w:rsidRDefault="00263061">
            <w:pPr>
              <w:rPr>
                <w:rFonts w:hAnsiTheme="minorEastAsia"/>
                <w:sz w:val="24"/>
                <w:u w:val="single"/>
              </w:rPr>
            </w:pPr>
            <w:r>
              <w:rPr>
                <w:rFonts w:hAnsiTheme="minorEastAsia" w:hint="eastAsia"/>
                <w:sz w:val="24"/>
              </w:rPr>
              <w:t>☑12个月   □18个月   □其他</w:t>
            </w:r>
            <w:r>
              <w:rPr>
                <w:rFonts w:hAnsiTheme="minorEastAsia" w:hint="eastAsia"/>
                <w:sz w:val="24"/>
                <w:u w:val="single"/>
              </w:rPr>
              <w:t xml:space="preserve">         </w:t>
            </w:r>
          </w:p>
        </w:tc>
      </w:tr>
      <w:tr w:rsidR="00E73ECC" w14:paraId="6A0034F3" w14:textId="77777777">
        <w:trPr>
          <w:trHeight w:val="548"/>
          <w:jc w:val="center"/>
        </w:trPr>
        <w:tc>
          <w:tcPr>
            <w:tcW w:w="2025" w:type="dxa"/>
            <w:vAlign w:val="center"/>
          </w:tcPr>
          <w:p w14:paraId="4D8E8963" w14:textId="77777777" w:rsidR="00E73ECC" w:rsidRDefault="00263061">
            <w:pPr>
              <w:jc w:val="center"/>
              <w:rPr>
                <w:sz w:val="24"/>
              </w:rPr>
            </w:pPr>
            <w:r>
              <w:rPr>
                <w:rFonts w:hint="eastAsia"/>
                <w:sz w:val="24"/>
              </w:rPr>
              <w:t>起草单位</w:t>
            </w:r>
          </w:p>
        </w:tc>
        <w:tc>
          <w:tcPr>
            <w:tcW w:w="7210" w:type="dxa"/>
            <w:gridSpan w:val="6"/>
            <w:vAlign w:val="center"/>
          </w:tcPr>
          <w:p w14:paraId="70398715" w14:textId="3565D3EA" w:rsidR="00E73ECC" w:rsidRDefault="00263061">
            <w:pPr>
              <w:jc w:val="center"/>
              <w:rPr>
                <w:sz w:val="24"/>
              </w:rPr>
            </w:pPr>
            <w:r>
              <w:rPr>
                <w:rFonts w:hint="eastAsia"/>
                <w:sz w:val="24"/>
              </w:rPr>
              <w:t>中国船级社</w:t>
            </w:r>
            <w:r w:rsidR="00CB1796">
              <w:rPr>
                <w:rFonts w:hint="eastAsia"/>
                <w:sz w:val="24"/>
              </w:rPr>
              <w:t>等</w:t>
            </w:r>
            <w:bookmarkStart w:id="0" w:name="_GoBack"/>
            <w:bookmarkEnd w:id="0"/>
          </w:p>
        </w:tc>
      </w:tr>
      <w:tr w:rsidR="00E73ECC" w14:paraId="046884AA" w14:textId="77777777">
        <w:trPr>
          <w:trHeight w:val="548"/>
          <w:jc w:val="center"/>
        </w:trPr>
        <w:tc>
          <w:tcPr>
            <w:tcW w:w="2025" w:type="dxa"/>
            <w:vAlign w:val="center"/>
          </w:tcPr>
          <w:p w14:paraId="24FC4617" w14:textId="77777777" w:rsidR="00E73ECC" w:rsidRDefault="00263061">
            <w:pPr>
              <w:jc w:val="center"/>
              <w:rPr>
                <w:sz w:val="24"/>
              </w:rPr>
            </w:pPr>
            <w:r>
              <w:rPr>
                <w:rFonts w:hint="eastAsia"/>
                <w:sz w:val="24"/>
              </w:rPr>
              <w:t>联系人</w:t>
            </w:r>
          </w:p>
        </w:tc>
        <w:tc>
          <w:tcPr>
            <w:tcW w:w="2126" w:type="dxa"/>
            <w:vAlign w:val="center"/>
          </w:tcPr>
          <w:p w14:paraId="7D19A4D6" w14:textId="77777777" w:rsidR="00E73ECC" w:rsidRDefault="00263061">
            <w:pPr>
              <w:jc w:val="center"/>
              <w:rPr>
                <w:sz w:val="24"/>
                <w:lang w:val="en-US"/>
              </w:rPr>
            </w:pPr>
            <w:r>
              <w:rPr>
                <w:rFonts w:hint="eastAsia"/>
                <w:sz w:val="24"/>
                <w:lang w:val="en-US"/>
              </w:rPr>
              <w:t>孙东昊</w:t>
            </w:r>
          </w:p>
        </w:tc>
        <w:tc>
          <w:tcPr>
            <w:tcW w:w="850" w:type="dxa"/>
            <w:gridSpan w:val="2"/>
            <w:vAlign w:val="center"/>
          </w:tcPr>
          <w:p w14:paraId="5BD5A6B1" w14:textId="77777777" w:rsidR="00E73ECC" w:rsidRDefault="00263061">
            <w:pPr>
              <w:jc w:val="center"/>
              <w:rPr>
                <w:sz w:val="24"/>
              </w:rPr>
            </w:pPr>
            <w:r>
              <w:rPr>
                <w:rFonts w:hint="eastAsia"/>
                <w:sz w:val="24"/>
              </w:rPr>
              <w:t>地址</w:t>
            </w:r>
          </w:p>
        </w:tc>
        <w:tc>
          <w:tcPr>
            <w:tcW w:w="4234" w:type="dxa"/>
            <w:gridSpan w:val="3"/>
            <w:vAlign w:val="center"/>
          </w:tcPr>
          <w:p w14:paraId="2E68C55E" w14:textId="77777777" w:rsidR="00E73ECC" w:rsidRDefault="00263061">
            <w:pPr>
              <w:jc w:val="center"/>
              <w:rPr>
                <w:sz w:val="24"/>
                <w:lang w:val="en-US"/>
              </w:rPr>
            </w:pPr>
            <w:r>
              <w:rPr>
                <w:sz w:val="24"/>
                <w:lang w:val="en-US"/>
              </w:rPr>
              <w:t>北京市东直门南大街9号船检大厦</w:t>
            </w:r>
          </w:p>
        </w:tc>
      </w:tr>
      <w:tr w:rsidR="00E73ECC" w14:paraId="755DF9A4" w14:textId="77777777">
        <w:trPr>
          <w:trHeight w:val="548"/>
          <w:jc w:val="center"/>
        </w:trPr>
        <w:tc>
          <w:tcPr>
            <w:tcW w:w="2025" w:type="dxa"/>
            <w:vAlign w:val="center"/>
          </w:tcPr>
          <w:p w14:paraId="38B6153F" w14:textId="77777777" w:rsidR="00E73ECC" w:rsidRDefault="00263061">
            <w:pPr>
              <w:jc w:val="center"/>
              <w:rPr>
                <w:sz w:val="24"/>
              </w:rPr>
            </w:pPr>
            <w:r>
              <w:rPr>
                <w:rFonts w:hint="eastAsia"/>
                <w:sz w:val="24"/>
              </w:rPr>
              <w:t>电话</w:t>
            </w:r>
          </w:p>
        </w:tc>
        <w:tc>
          <w:tcPr>
            <w:tcW w:w="2126" w:type="dxa"/>
            <w:vAlign w:val="center"/>
          </w:tcPr>
          <w:p w14:paraId="3C59E129" w14:textId="77777777" w:rsidR="00E73ECC" w:rsidRDefault="00263061">
            <w:pPr>
              <w:jc w:val="center"/>
              <w:rPr>
                <w:sz w:val="24"/>
                <w:lang w:val="en-US"/>
              </w:rPr>
            </w:pPr>
            <w:r>
              <w:rPr>
                <w:rFonts w:hint="eastAsia"/>
                <w:sz w:val="24"/>
                <w:lang w:val="en-US"/>
              </w:rPr>
              <w:t>18603350332</w:t>
            </w:r>
          </w:p>
        </w:tc>
        <w:tc>
          <w:tcPr>
            <w:tcW w:w="850" w:type="dxa"/>
            <w:gridSpan w:val="2"/>
            <w:vAlign w:val="center"/>
          </w:tcPr>
          <w:p w14:paraId="5F1FC27A" w14:textId="77777777" w:rsidR="00E73ECC" w:rsidRDefault="00263061">
            <w:pPr>
              <w:jc w:val="center"/>
              <w:rPr>
                <w:sz w:val="24"/>
              </w:rPr>
            </w:pPr>
            <w:r>
              <w:rPr>
                <w:rFonts w:hint="eastAsia"/>
                <w:sz w:val="24"/>
              </w:rPr>
              <w:t>邮箱</w:t>
            </w:r>
          </w:p>
        </w:tc>
        <w:tc>
          <w:tcPr>
            <w:tcW w:w="4234" w:type="dxa"/>
            <w:gridSpan w:val="3"/>
            <w:vAlign w:val="center"/>
          </w:tcPr>
          <w:p w14:paraId="6074A154" w14:textId="77777777" w:rsidR="00E73ECC" w:rsidRDefault="00263061">
            <w:pPr>
              <w:jc w:val="center"/>
              <w:rPr>
                <w:sz w:val="24"/>
              </w:rPr>
            </w:pPr>
            <w:r>
              <w:rPr>
                <w:rFonts w:hint="eastAsia"/>
                <w:sz w:val="24"/>
                <w:lang w:val="en-US"/>
              </w:rPr>
              <w:t>sundonghao@ccs.org.cn</w:t>
            </w:r>
          </w:p>
        </w:tc>
      </w:tr>
      <w:tr w:rsidR="00E73ECC" w14:paraId="38F97F4A" w14:textId="77777777">
        <w:trPr>
          <w:trHeight w:val="1102"/>
          <w:jc w:val="center"/>
        </w:trPr>
        <w:tc>
          <w:tcPr>
            <w:tcW w:w="2025" w:type="dxa"/>
            <w:vAlign w:val="center"/>
          </w:tcPr>
          <w:p w14:paraId="313EF886" w14:textId="77777777" w:rsidR="00E73ECC" w:rsidRDefault="00263061">
            <w:pPr>
              <w:jc w:val="center"/>
              <w:rPr>
                <w:sz w:val="24"/>
              </w:rPr>
            </w:pPr>
            <w:r>
              <w:rPr>
                <w:rFonts w:hint="eastAsia"/>
                <w:sz w:val="24"/>
              </w:rPr>
              <w:t>项目任务的</w:t>
            </w:r>
          </w:p>
          <w:p w14:paraId="57D0EE8A" w14:textId="77777777" w:rsidR="00E73ECC" w:rsidRDefault="00263061">
            <w:pPr>
              <w:jc w:val="center"/>
              <w:rPr>
                <w:sz w:val="24"/>
              </w:rPr>
            </w:pPr>
            <w:r>
              <w:rPr>
                <w:rFonts w:hint="eastAsia"/>
                <w:sz w:val="24"/>
              </w:rPr>
              <w:t>意义和必要性</w:t>
            </w:r>
          </w:p>
        </w:tc>
        <w:tc>
          <w:tcPr>
            <w:tcW w:w="7210" w:type="dxa"/>
            <w:gridSpan w:val="6"/>
          </w:tcPr>
          <w:p w14:paraId="055C1760" w14:textId="77777777" w:rsidR="00E73ECC" w:rsidRDefault="00263061">
            <w:pPr>
              <w:spacing w:line="360" w:lineRule="auto"/>
              <w:ind w:firstLineChars="200" w:firstLine="480"/>
              <w:rPr>
                <w:sz w:val="24"/>
              </w:rPr>
            </w:pPr>
            <w:r>
              <w:rPr>
                <w:rFonts w:hint="eastAsia"/>
                <w:sz w:val="24"/>
              </w:rPr>
              <w:t>随着世界经济的发展，各地区之间的经济交往日益拓宽，交通运输行业不断壮大，而水路运输则被认为是国际上有效且可靠的运输方式。根据国际海事组织(International Maritime Organization，IMO)给出的数据显示，国际航运业承担了很大一部分的全球贸易运输任务。油船作为主流船型之一，因其特殊性和危险性，货物的安全管理是十分重要的一环。日前，随着</w:t>
            </w:r>
            <w:proofErr w:type="gramStart"/>
            <w:r>
              <w:rPr>
                <w:rFonts w:hint="eastAsia"/>
                <w:sz w:val="24"/>
              </w:rPr>
              <w:t>计算机算力的</w:t>
            </w:r>
            <w:proofErr w:type="gramEnd"/>
            <w:r>
              <w:rPr>
                <w:rFonts w:hint="eastAsia"/>
                <w:sz w:val="24"/>
              </w:rPr>
              <w:t>不断提高，智能技术得到快速发展</w:t>
            </w:r>
            <w:r>
              <w:rPr>
                <w:rFonts w:hint="eastAsia"/>
                <w:sz w:val="24"/>
                <w:lang w:val="en-US"/>
              </w:rPr>
              <w:t>，将机器学习、深度学习等技术与</w:t>
            </w:r>
            <w:r>
              <w:rPr>
                <w:rFonts w:hint="eastAsia"/>
                <w:sz w:val="24"/>
              </w:rPr>
              <w:t>油船货物管理融合的智能船货物管理系统发展迅速，为此对于智能船货物管理的功能和测试内容的定义、油船智能货物管理系统的测试验证的迫切需求，加快建立全面的、系统的、权威的油船智能货物管理系统测试验证要求，为智能船舶产业革新提供全面的技术支撑具有迫切需求和重大意义。</w:t>
            </w:r>
          </w:p>
        </w:tc>
      </w:tr>
      <w:tr w:rsidR="00E73ECC" w14:paraId="4A9A3658" w14:textId="77777777">
        <w:trPr>
          <w:trHeight w:val="581"/>
          <w:jc w:val="center"/>
        </w:trPr>
        <w:tc>
          <w:tcPr>
            <w:tcW w:w="2025" w:type="dxa"/>
            <w:vAlign w:val="center"/>
          </w:tcPr>
          <w:p w14:paraId="56950350" w14:textId="77777777" w:rsidR="00E73ECC" w:rsidRDefault="00263061">
            <w:pPr>
              <w:jc w:val="center"/>
              <w:rPr>
                <w:sz w:val="24"/>
              </w:rPr>
            </w:pPr>
            <w:r>
              <w:rPr>
                <w:rFonts w:hint="eastAsia"/>
                <w:sz w:val="24"/>
              </w:rPr>
              <w:t>标准适用范围</w:t>
            </w:r>
          </w:p>
          <w:p w14:paraId="2DACEE34" w14:textId="77777777" w:rsidR="00E73ECC" w:rsidRDefault="00263061">
            <w:pPr>
              <w:jc w:val="center"/>
              <w:rPr>
                <w:sz w:val="24"/>
              </w:rPr>
            </w:pPr>
            <w:r>
              <w:rPr>
                <w:rFonts w:hint="eastAsia"/>
                <w:sz w:val="24"/>
              </w:rPr>
              <w:t>和主要技术内容</w:t>
            </w:r>
          </w:p>
        </w:tc>
        <w:tc>
          <w:tcPr>
            <w:tcW w:w="7210" w:type="dxa"/>
            <w:gridSpan w:val="6"/>
          </w:tcPr>
          <w:p w14:paraId="5E3B0812" w14:textId="77777777" w:rsidR="00E73ECC" w:rsidRDefault="00263061">
            <w:pPr>
              <w:spacing w:line="360" w:lineRule="auto"/>
              <w:ind w:firstLineChars="200" w:firstLine="480"/>
              <w:rPr>
                <w:sz w:val="24"/>
              </w:rPr>
            </w:pPr>
            <w:r>
              <w:rPr>
                <w:rFonts w:hint="eastAsia"/>
                <w:sz w:val="24"/>
              </w:rPr>
              <w:t>标准适用于</w:t>
            </w:r>
            <w:r>
              <w:rPr>
                <w:rFonts w:hint="eastAsia"/>
                <w:sz w:val="24"/>
                <w:lang w:val="en-US"/>
              </w:rPr>
              <w:t>油船</w:t>
            </w:r>
            <w:r>
              <w:rPr>
                <w:rFonts w:hint="eastAsia"/>
                <w:sz w:val="24"/>
              </w:rPr>
              <w:t>的货物/货舱及货物相关</w:t>
            </w:r>
            <w:r>
              <w:rPr>
                <w:rFonts w:hint="eastAsia"/>
                <w:sz w:val="24"/>
                <w:lang w:val="en-US"/>
              </w:rPr>
              <w:t>管理</w:t>
            </w:r>
            <w:r>
              <w:rPr>
                <w:rFonts w:hint="eastAsia"/>
                <w:sz w:val="24"/>
              </w:rPr>
              <w:t>系统的参数监测、预警/报警和辅助决策、智能配载、自动装卸货、智能洗舱</w:t>
            </w:r>
            <w:r>
              <w:rPr>
                <w:rFonts w:hint="eastAsia"/>
                <w:sz w:val="24"/>
                <w:lang w:val="en-US"/>
              </w:rPr>
              <w:t>等方面测试验证。</w:t>
            </w:r>
          </w:p>
          <w:p w14:paraId="19B189CF" w14:textId="77777777" w:rsidR="00E73ECC" w:rsidRDefault="00263061">
            <w:pPr>
              <w:spacing w:line="360" w:lineRule="auto"/>
              <w:ind w:firstLineChars="200" w:firstLine="480"/>
              <w:rPr>
                <w:sz w:val="24"/>
              </w:rPr>
            </w:pPr>
            <w:r>
              <w:rPr>
                <w:rFonts w:hint="eastAsia"/>
                <w:sz w:val="24"/>
                <w:lang w:val="en-US"/>
              </w:rPr>
              <w:t>油船</w:t>
            </w:r>
            <w:r>
              <w:rPr>
                <w:rFonts w:hint="eastAsia"/>
                <w:sz w:val="24"/>
              </w:rPr>
              <w:t>智能货物管理系统由通用检查项目、参数监测功能测试、辅助决策功能测试、智能配载功能测试、自动装卸货功能测试、智</w:t>
            </w:r>
            <w:r>
              <w:rPr>
                <w:rFonts w:hint="eastAsia"/>
                <w:sz w:val="24"/>
              </w:rPr>
              <w:lastRenderedPageBreak/>
              <w:t>能洗舱要求组成，标准内容在具备该类标准必要要素的同时，主要包括以下内容：</w:t>
            </w:r>
          </w:p>
          <w:p w14:paraId="4B0099EC" w14:textId="77777777" w:rsidR="00E73ECC" w:rsidRDefault="00263061">
            <w:pPr>
              <w:spacing w:line="360" w:lineRule="auto"/>
              <w:ind w:firstLineChars="200" w:firstLine="480"/>
              <w:rPr>
                <w:sz w:val="24"/>
              </w:rPr>
            </w:pPr>
            <w:r>
              <w:rPr>
                <w:rFonts w:hint="eastAsia"/>
                <w:sz w:val="24"/>
              </w:rPr>
              <w:t>1）测试要素</w:t>
            </w:r>
          </w:p>
          <w:p w14:paraId="711DD6C3" w14:textId="77777777" w:rsidR="00E73ECC" w:rsidRDefault="00263061">
            <w:pPr>
              <w:spacing w:line="360" w:lineRule="auto"/>
              <w:ind w:firstLineChars="200" w:firstLine="480"/>
              <w:rPr>
                <w:sz w:val="24"/>
              </w:rPr>
            </w:pPr>
            <w:r>
              <w:rPr>
                <w:rFonts w:hint="eastAsia"/>
                <w:sz w:val="24"/>
              </w:rPr>
              <w:t>主要包括智能货物系统在装载货物类别、状态监测、在线操控、协同优化等方面的影响因素及边界条件。</w:t>
            </w:r>
          </w:p>
          <w:p w14:paraId="20C4E37D" w14:textId="77777777" w:rsidR="00E73ECC" w:rsidRDefault="00263061">
            <w:pPr>
              <w:spacing w:line="360" w:lineRule="auto"/>
              <w:ind w:firstLineChars="200" w:firstLine="480"/>
              <w:rPr>
                <w:sz w:val="24"/>
              </w:rPr>
            </w:pPr>
            <w:r>
              <w:rPr>
                <w:rFonts w:hint="eastAsia"/>
                <w:sz w:val="24"/>
              </w:rPr>
              <w:t>2）测试要求</w:t>
            </w:r>
          </w:p>
          <w:p w14:paraId="3C57F493" w14:textId="77777777" w:rsidR="00E73ECC" w:rsidRDefault="00263061">
            <w:pPr>
              <w:spacing w:line="360" w:lineRule="auto"/>
              <w:ind w:firstLineChars="200" w:firstLine="480"/>
              <w:rPr>
                <w:sz w:val="24"/>
              </w:rPr>
            </w:pPr>
            <w:r>
              <w:rPr>
                <w:rFonts w:hint="eastAsia"/>
                <w:sz w:val="24"/>
              </w:rPr>
              <w:t>开展船载货</w:t>
            </w:r>
            <w:proofErr w:type="gramStart"/>
            <w:r>
              <w:rPr>
                <w:rFonts w:hint="eastAsia"/>
                <w:sz w:val="24"/>
              </w:rPr>
              <w:t>物类型</w:t>
            </w:r>
            <w:proofErr w:type="gramEnd"/>
            <w:r>
              <w:rPr>
                <w:rFonts w:hint="eastAsia"/>
                <w:sz w:val="24"/>
              </w:rPr>
              <w:t>对智能货物管理系统影响的差异性分析，提出运载典型货物工况下的测试验证要求。</w:t>
            </w:r>
          </w:p>
          <w:p w14:paraId="154E6DCB" w14:textId="77777777" w:rsidR="00E73ECC" w:rsidRDefault="00263061">
            <w:pPr>
              <w:spacing w:line="360" w:lineRule="auto"/>
              <w:ind w:firstLineChars="200" w:firstLine="480"/>
              <w:rPr>
                <w:sz w:val="24"/>
              </w:rPr>
            </w:pPr>
            <w:r>
              <w:rPr>
                <w:rFonts w:hint="eastAsia"/>
                <w:sz w:val="24"/>
              </w:rPr>
              <w:t>3）测试规程</w:t>
            </w:r>
          </w:p>
          <w:p w14:paraId="7CD6B5AC" w14:textId="77777777" w:rsidR="00E73ECC" w:rsidRDefault="00263061">
            <w:pPr>
              <w:spacing w:line="360" w:lineRule="auto"/>
              <w:ind w:firstLineChars="200" w:firstLine="480"/>
              <w:rPr>
                <w:i/>
                <w:sz w:val="24"/>
                <w:u w:val="single"/>
              </w:rPr>
            </w:pPr>
            <w:r>
              <w:rPr>
                <w:rFonts w:hint="eastAsia"/>
                <w:sz w:val="24"/>
              </w:rPr>
              <w:t>明确智能货物货舱监测报警和辅助决策、智能货物配载、智能装卸货等功能测试规程，综合考虑温度、压力、货舱液位、操控指令、船岸协同效果等影响因素带来的潜在风险，为系统辅助决策能力、监测报警能力、货物操控及管理能力、配载优化能力、船岸指令集成及协作能力的测试验证提供指导。</w:t>
            </w:r>
          </w:p>
          <w:p w14:paraId="540478C6" w14:textId="77777777" w:rsidR="00E73ECC" w:rsidRDefault="00E73ECC">
            <w:pPr>
              <w:rPr>
                <w:i/>
                <w:sz w:val="24"/>
                <w:u w:val="single"/>
              </w:rPr>
            </w:pPr>
          </w:p>
        </w:tc>
      </w:tr>
      <w:tr w:rsidR="00E73ECC" w14:paraId="1FD1E9B3" w14:textId="77777777">
        <w:trPr>
          <w:trHeight w:val="834"/>
          <w:jc w:val="center"/>
        </w:trPr>
        <w:tc>
          <w:tcPr>
            <w:tcW w:w="2025" w:type="dxa"/>
            <w:vAlign w:val="center"/>
          </w:tcPr>
          <w:p w14:paraId="1923B5D2" w14:textId="77777777" w:rsidR="00E73ECC" w:rsidRDefault="00263061">
            <w:pPr>
              <w:widowControl/>
              <w:jc w:val="center"/>
              <w:rPr>
                <w:rFonts w:ascii="宋体" w:hAnsi="宋体"/>
                <w:sz w:val="24"/>
              </w:rPr>
            </w:pPr>
            <w:r>
              <w:rPr>
                <w:rFonts w:ascii="宋体" w:hAnsi="宋体" w:hint="eastAsia"/>
                <w:sz w:val="24"/>
              </w:rPr>
              <w:lastRenderedPageBreak/>
              <w:t>国内外情况简要说明</w:t>
            </w:r>
          </w:p>
        </w:tc>
        <w:tc>
          <w:tcPr>
            <w:tcW w:w="7210" w:type="dxa"/>
            <w:gridSpan w:val="6"/>
          </w:tcPr>
          <w:p w14:paraId="1B54D090" w14:textId="21A557D2" w:rsidR="00E73ECC" w:rsidRDefault="00263061">
            <w:pPr>
              <w:spacing w:line="360" w:lineRule="auto"/>
              <w:ind w:firstLineChars="200" w:firstLine="480"/>
              <w:rPr>
                <w:rFonts w:ascii="黑体" w:eastAsia="黑体" w:hAnsi="宋体"/>
                <w:color w:val="000000"/>
                <w:sz w:val="24"/>
              </w:rPr>
            </w:pPr>
            <w:r>
              <w:rPr>
                <w:rFonts w:hint="eastAsia"/>
                <w:sz w:val="24"/>
              </w:rPr>
              <w:t>目前，对于油船货物的智能管理，国内外很多船舶设计制造厂家、设备供应商以及航运管理公司都进行一定的研发工作和尝试。挪威的康士伯格公司通过集成化的处理和数据分析，在船舶吃水和货舱液位测量监测方面使用便捷明了的人机交互界面，使船舶管理者可以方便地查看或监控货舱的货物装载状况，以及体积、</w:t>
            </w:r>
            <w:proofErr w:type="gramStart"/>
            <w:r>
              <w:rPr>
                <w:rFonts w:hint="eastAsia"/>
                <w:sz w:val="24"/>
              </w:rPr>
              <w:t>空高和</w:t>
            </w:r>
            <w:proofErr w:type="gramEnd"/>
            <w:r>
              <w:rPr>
                <w:rFonts w:hint="eastAsia"/>
                <w:sz w:val="24"/>
              </w:rPr>
              <w:t>温度等数据。日本的商船三井和</w:t>
            </w:r>
            <w:proofErr w:type="gramStart"/>
            <w:r>
              <w:rPr>
                <w:rFonts w:hint="eastAsia"/>
                <w:sz w:val="24"/>
              </w:rPr>
              <w:t>旭化成</w:t>
            </w:r>
            <w:proofErr w:type="gramEnd"/>
            <w:r>
              <w:rPr>
                <w:rFonts w:hint="eastAsia"/>
                <w:sz w:val="24"/>
              </w:rPr>
              <w:t>株式会社合作，开展了油船关键辅助机械监测的研究，并可通过船舶物联网系统和基于船岸之间的实时通信监控平台验证分析设备的异常状况。法国船级社（</w:t>
            </w:r>
            <w:r>
              <w:rPr>
                <w:rFonts w:hint="eastAsia"/>
                <w:sz w:val="24"/>
                <w:lang w:val="en-US"/>
              </w:rPr>
              <w:t>BV</w:t>
            </w:r>
            <w:r>
              <w:rPr>
                <w:rFonts w:hint="eastAsia"/>
                <w:sz w:val="24"/>
              </w:rPr>
              <w:t>）在</w:t>
            </w:r>
            <w:r>
              <w:rPr>
                <w:rFonts w:hint="eastAsia"/>
                <w:sz w:val="24"/>
                <w:lang w:val="en-US"/>
              </w:rPr>
              <w:t>2019年发布的《自主运输船舶指南》从货物的监测、控制和装卸</w:t>
            </w:r>
            <w:proofErr w:type="gramStart"/>
            <w:r>
              <w:rPr>
                <w:rFonts w:hint="eastAsia"/>
                <w:sz w:val="24"/>
                <w:lang w:val="en-US"/>
              </w:rPr>
              <w:t>货方面规定</w:t>
            </w:r>
            <w:proofErr w:type="gramEnd"/>
            <w:r>
              <w:rPr>
                <w:rFonts w:hint="eastAsia"/>
                <w:sz w:val="24"/>
                <w:lang w:val="en-US"/>
              </w:rPr>
              <w:t>了货物管理自动化系统的相关要求。挪威船级社（DNV）规范中通过附加标志CCO，明确规定了对货物管理系统、货物相关系统以及压载系统的集中操作和监控的要求。同时日本船级社（NK）在《货物集中监控系统规则》中对液货船（包括油船、化学品船和液化气体船）集中操作和控制系统的检验技术要求进行了详细的规定。中国船级社于2015年发布了《智能船舶规范》，2018年发布了</w:t>
            </w:r>
            <w:r>
              <w:rPr>
                <w:rFonts w:hint="eastAsia"/>
                <w:sz w:val="24"/>
                <w:lang w:val="en-US"/>
              </w:rPr>
              <w:lastRenderedPageBreak/>
              <w:t>《</w:t>
            </w:r>
            <w:hyperlink r:id="rId5" w:tgtFrame="https://www.ccs.org.cn/ccswz/_blank" w:history="1">
              <w:r>
                <w:rPr>
                  <w:rFonts w:hint="eastAsia"/>
                  <w:sz w:val="24"/>
                  <w:lang w:val="en-US"/>
                </w:rPr>
                <w:t>船舶(油船)智能货物管理检验指</w:t>
              </w:r>
            </w:hyperlink>
            <w:r>
              <w:rPr>
                <w:rFonts w:hint="eastAsia"/>
                <w:sz w:val="24"/>
                <w:lang w:val="en-US"/>
              </w:rPr>
              <w:t>》。</w:t>
            </w:r>
            <w:r>
              <w:rPr>
                <w:rFonts w:hint="eastAsia"/>
                <w:sz w:val="24"/>
              </w:rPr>
              <w:t>大连海事大学开展了现代油船货物自动装卸的研究，设计了软硬件兼备的仿真控制模拟器。中国船舶集团第七○四研究所和中国船舶集团第七○八研究所自主研发的智能货物管理系统。</w:t>
            </w:r>
          </w:p>
        </w:tc>
      </w:tr>
      <w:tr w:rsidR="00E73ECC" w14:paraId="79DD89A6" w14:textId="77777777">
        <w:trPr>
          <w:trHeight w:val="834"/>
          <w:jc w:val="center"/>
        </w:trPr>
        <w:tc>
          <w:tcPr>
            <w:tcW w:w="2025" w:type="dxa"/>
            <w:vAlign w:val="center"/>
          </w:tcPr>
          <w:p w14:paraId="52FF3325" w14:textId="77777777" w:rsidR="00E73ECC" w:rsidRDefault="00263061">
            <w:pPr>
              <w:widowControl/>
              <w:jc w:val="center"/>
              <w:rPr>
                <w:rFonts w:ascii="宋体" w:hAnsi="宋体"/>
                <w:sz w:val="24"/>
              </w:rPr>
            </w:pPr>
            <w:r>
              <w:rPr>
                <w:rFonts w:ascii="宋体" w:hAnsi="宋体" w:hint="eastAsia"/>
                <w:sz w:val="24"/>
              </w:rPr>
              <w:lastRenderedPageBreak/>
              <w:t>技术基础及</w:t>
            </w:r>
          </w:p>
          <w:p w14:paraId="2359F859" w14:textId="77777777" w:rsidR="00E73ECC" w:rsidRDefault="00263061">
            <w:pPr>
              <w:widowControl/>
              <w:jc w:val="center"/>
              <w:rPr>
                <w:rFonts w:ascii="宋体" w:hAnsi="宋体"/>
                <w:sz w:val="24"/>
              </w:rPr>
            </w:pPr>
            <w:r>
              <w:rPr>
                <w:rFonts w:ascii="宋体" w:hAnsi="宋体" w:hint="eastAsia"/>
                <w:sz w:val="24"/>
              </w:rPr>
              <w:t>研究团队</w:t>
            </w:r>
          </w:p>
        </w:tc>
        <w:tc>
          <w:tcPr>
            <w:tcW w:w="7210" w:type="dxa"/>
            <w:gridSpan w:val="6"/>
          </w:tcPr>
          <w:p w14:paraId="4D992302" w14:textId="580BF7A0" w:rsidR="00E73ECC" w:rsidRDefault="00263061">
            <w:pPr>
              <w:spacing w:line="360" w:lineRule="auto"/>
              <w:ind w:firstLineChars="200" w:firstLine="480"/>
              <w:rPr>
                <w:sz w:val="24"/>
                <w:lang w:val="en-US"/>
              </w:rPr>
            </w:pPr>
            <w:r>
              <w:rPr>
                <w:rFonts w:hint="eastAsia"/>
                <w:sz w:val="24"/>
              </w:rPr>
              <w:t>中国船级社（CCS）为船舶、海上设施及相关工业产品提供世界领先的技术规范和标准并提供入级检验服务,同时还依据国际公约、规则以及授权船旗国或地区的有关法规提供法定检验、</w:t>
            </w:r>
            <w:proofErr w:type="gramStart"/>
            <w:r>
              <w:rPr>
                <w:rFonts w:hint="eastAsia"/>
                <w:sz w:val="24"/>
              </w:rPr>
              <w:t>鉴证</w:t>
            </w:r>
            <w:proofErr w:type="gramEnd"/>
            <w:r>
              <w:rPr>
                <w:rFonts w:hint="eastAsia"/>
                <w:sz w:val="24"/>
              </w:rPr>
              <w:t>检验、公证检验、认证认可等服务。</w:t>
            </w:r>
            <w:r>
              <w:rPr>
                <w:rFonts w:hint="eastAsia"/>
                <w:sz w:val="24"/>
                <w:lang w:val="en-US"/>
              </w:rPr>
              <w:t>CCS通过《智能船舶规范》和《</w:t>
            </w:r>
            <w:hyperlink r:id="rId6" w:tgtFrame="https://www.ccs.org.cn/ccswz/_blank" w:history="1">
              <w:r>
                <w:rPr>
                  <w:rFonts w:hint="eastAsia"/>
                  <w:sz w:val="24"/>
                  <w:lang w:val="en-US"/>
                </w:rPr>
                <w:t>船舶(油船)智能货物管理检验指</w:t>
              </w:r>
            </w:hyperlink>
            <w:r>
              <w:rPr>
                <w:rFonts w:hint="eastAsia"/>
                <w:sz w:val="24"/>
                <w:lang w:val="en-US"/>
              </w:rPr>
              <w:t>》的编写和发布，在相关领域具有完备的技术储备以及技术团队。</w:t>
            </w:r>
          </w:p>
          <w:p w14:paraId="06E0D1CE" w14:textId="77777777" w:rsidR="00E73ECC" w:rsidRDefault="00263061">
            <w:pPr>
              <w:spacing w:line="360" w:lineRule="auto"/>
              <w:ind w:firstLineChars="200" w:firstLine="480"/>
              <w:rPr>
                <w:sz w:val="24"/>
                <w:lang w:val="en-US"/>
              </w:rPr>
            </w:pPr>
            <w:r>
              <w:rPr>
                <w:rFonts w:hint="eastAsia"/>
                <w:sz w:val="24"/>
                <w:lang w:val="en-US"/>
              </w:rPr>
              <w:t>本次标准编写工作由中国船级社</w:t>
            </w:r>
            <w:proofErr w:type="gramStart"/>
            <w:r>
              <w:rPr>
                <w:rFonts w:hint="eastAsia"/>
                <w:sz w:val="24"/>
                <w:lang w:val="en-US"/>
              </w:rPr>
              <w:t>科创中心</w:t>
            </w:r>
            <w:proofErr w:type="gramEnd"/>
            <w:r>
              <w:rPr>
                <w:rFonts w:hint="eastAsia"/>
                <w:sz w:val="24"/>
                <w:lang w:val="en-US"/>
              </w:rPr>
              <w:t>牵头，以及上海规范所、秦皇岛分社、天津分社等多家相关单位合作完成。</w:t>
            </w:r>
          </w:p>
        </w:tc>
      </w:tr>
      <w:tr w:rsidR="00E73ECC" w14:paraId="611687EE" w14:textId="77777777">
        <w:trPr>
          <w:trHeight w:val="944"/>
          <w:jc w:val="center"/>
        </w:trPr>
        <w:tc>
          <w:tcPr>
            <w:tcW w:w="2025" w:type="dxa"/>
            <w:vAlign w:val="center"/>
          </w:tcPr>
          <w:p w14:paraId="42F69FE3" w14:textId="77777777" w:rsidR="00E73ECC" w:rsidRDefault="00263061">
            <w:pPr>
              <w:jc w:val="center"/>
              <w:rPr>
                <w:rFonts w:ascii="宋体" w:hAnsi="宋体"/>
                <w:sz w:val="24"/>
              </w:rPr>
            </w:pPr>
            <w:r>
              <w:rPr>
                <w:rFonts w:ascii="宋体" w:hAnsi="宋体" w:hint="eastAsia"/>
                <w:sz w:val="24"/>
              </w:rPr>
              <w:t>申请立项单位意见</w:t>
            </w:r>
          </w:p>
        </w:tc>
        <w:tc>
          <w:tcPr>
            <w:tcW w:w="7210" w:type="dxa"/>
            <w:gridSpan w:val="6"/>
            <w:vAlign w:val="bottom"/>
          </w:tcPr>
          <w:p w14:paraId="0A60A79A" w14:textId="77777777" w:rsidR="00E73ECC" w:rsidRDefault="00263061">
            <w:pPr>
              <w:wordWrap w:val="0"/>
              <w:jc w:val="right"/>
              <w:rPr>
                <w:sz w:val="24"/>
              </w:rPr>
            </w:pPr>
            <w:r>
              <w:rPr>
                <w:rFonts w:hint="eastAsia"/>
                <w:sz w:val="24"/>
              </w:rPr>
              <w:t xml:space="preserve">（盖章）                                          </w:t>
            </w:r>
          </w:p>
          <w:p w14:paraId="390A7425" w14:textId="77777777" w:rsidR="00E73ECC" w:rsidRDefault="00263061">
            <w:pPr>
              <w:jc w:val="right"/>
              <w:rPr>
                <w:rFonts w:ascii="黑体" w:eastAsia="黑体" w:hAnsi="宋体"/>
                <w:color w:val="000000"/>
                <w:sz w:val="24"/>
              </w:rPr>
            </w:pPr>
            <w:r>
              <w:rPr>
                <w:rFonts w:hint="eastAsia"/>
                <w:sz w:val="24"/>
              </w:rPr>
              <w:t>年   月   日</w:t>
            </w:r>
          </w:p>
        </w:tc>
      </w:tr>
      <w:tr w:rsidR="00E73ECC" w14:paraId="070B5955" w14:textId="77777777">
        <w:trPr>
          <w:trHeight w:val="1890"/>
          <w:jc w:val="center"/>
        </w:trPr>
        <w:tc>
          <w:tcPr>
            <w:tcW w:w="2025" w:type="dxa"/>
            <w:vAlign w:val="center"/>
          </w:tcPr>
          <w:p w14:paraId="3869A328" w14:textId="77777777" w:rsidR="00E73ECC" w:rsidRDefault="00263061">
            <w:pPr>
              <w:jc w:val="center"/>
              <w:rPr>
                <w:sz w:val="24"/>
              </w:rPr>
            </w:pPr>
            <w:r>
              <w:rPr>
                <w:rFonts w:hint="eastAsia"/>
                <w:sz w:val="24"/>
              </w:rPr>
              <w:t>标准化学术委员会意见</w:t>
            </w:r>
          </w:p>
        </w:tc>
        <w:tc>
          <w:tcPr>
            <w:tcW w:w="2551" w:type="dxa"/>
            <w:gridSpan w:val="2"/>
            <w:vAlign w:val="bottom"/>
          </w:tcPr>
          <w:p w14:paraId="47A50C5F" w14:textId="77777777" w:rsidR="00E73ECC" w:rsidRDefault="00263061">
            <w:pPr>
              <w:wordWrap w:val="0"/>
              <w:jc w:val="right"/>
              <w:rPr>
                <w:sz w:val="24"/>
              </w:rPr>
            </w:pPr>
            <w:r>
              <w:rPr>
                <w:rFonts w:hint="eastAsia"/>
                <w:sz w:val="24"/>
              </w:rPr>
              <w:t xml:space="preserve">（签名、盖章）     </w:t>
            </w:r>
          </w:p>
          <w:p w14:paraId="21D8865C" w14:textId="77777777" w:rsidR="00E73ECC" w:rsidRDefault="00E73ECC">
            <w:pPr>
              <w:jc w:val="right"/>
              <w:rPr>
                <w:sz w:val="24"/>
              </w:rPr>
            </w:pPr>
          </w:p>
          <w:p w14:paraId="0AA735D7" w14:textId="77777777" w:rsidR="00E73ECC" w:rsidRDefault="00E73ECC">
            <w:pPr>
              <w:jc w:val="right"/>
              <w:rPr>
                <w:sz w:val="24"/>
              </w:rPr>
            </w:pPr>
          </w:p>
          <w:p w14:paraId="4BC93858" w14:textId="77777777" w:rsidR="00E73ECC" w:rsidRDefault="00263061">
            <w:pPr>
              <w:jc w:val="right"/>
              <w:rPr>
                <w:sz w:val="24"/>
              </w:rPr>
            </w:pPr>
            <w:r>
              <w:rPr>
                <w:rFonts w:hint="eastAsia"/>
                <w:sz w:val="24"/>
              </w:rPr>
              <w:t>年   月   日</w:t>
            </w:r>
          </w:p>
        </w:tc>
        <w:tc>
          <w:tcPr>
            <w:tcW w:w="1985" w:type="dxa"/>
            <w:gridSpan w:val="3"/>
            <w:vAlign w:val="center"/>
          </w:tcPr>
          <w:p w14:paraId="01836D80" w14:textId="77777777" w:rsidR="00E73ECC" w:rsidRDefault="00263061">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2A0C7FB3" w14:textId="77777777" w:rsidR="00E73ECC" w:rsidRDefault="00263061">
            <w:pPr>
              <w:wordWrap w:val="0"/>
              <w:jc w:val="right"/>
              <w:rPr>
                <w:sz w:val="24"/>
              </w:rPr>
            </w:pPr>
            <w:r>
              <w:rPr>
                <w:rFonts w:hint="eastAsia"/>
                <w:sz w:val="24"/>
              </w:rPr>
              <w:t xml:space="preserve">（签名、盖章）             </w:t>
            </w:r>
          </w:p>
          <w:p w14:paraId="3C8BB259" w14:textId="77777777" w:rsidR="00E73ECC" w:rsidRDefault="00E73ECC">
            <w:pPr>
              <w:jc w:val="right"/>
              <w:rPr>
                <w:sz w:val="24"/>
              </w:rPr>
            </w:pPr>
          </w:p>
          <w:p w14:paraId="5645C7C6" w14:textId="77777777" w:rsidR="00E73ECC" w:rsidRDefault="00E73ECC">
            <w:pPr>
              <w:jc w:val="right"/>
              <w:rPr>
                <w:sz w:val="24"/>
              </w:rPr>
            </w:pPr>
          </w:p>
          <w:p w14:paraId="4E0DEB5E" w14:textId="77777777" w:rsidR="00E73ECC" w:rsidRDefault="00263061">
            <w:pPr>
              <w:jc w:val="right"/>
              <w:rPr>
                <w:sz w:val="24"/>
              </w:rPr>
            </w:pPr>
            <w:r>
              <w:rPr>
                <w:rFonts w:hint="eastAsia"/>
                <w:sz w:val="24"/>
              </w:rPr>
              <w:t>年   月   日</w:t>
            </w:r>
          </w:p>
        </w:tc>
      </w:tr>
    </w:tbl>
    <w:p w14:paraId="596EBFBC" w14:textId="77777777" w:rsidR="00E73ECC" w:rsidRDefault="00263061">
      <w:pPr>
        <w:jc w:val="left"/>
      </w:pPr>
      <w:r>
        <w:rPr>
          <w:rFonts w:hAnsiTheme="minorEastAsia" w:hint="eastAsia"/>
        </w:rPr>
        <w:t>注：如本表空间不够，可另附页。</w:t>
      </w:r>
    </w:p>
    <w:sectPr w:rsidR="00E73E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华文细黑">
    <w:altName w:val="微软雅黑"/>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1A8164"/>
    <w:multiLevelType w:val="multilevel"/>
    <w:tmpl w:val="471A8164"/>
    <w:lvl w:ilvl="0">
      <w:start w:val="3"/>
      <w:numFmt w:val="decimal"/>
      <w:suff w:val="nothing"/>
      <w:lvlText w:val="%1　"/>
      <w:lvlJc w:val="left"/>
      <w:pPr>
        <w:ind w:left="0" w:firstLine="0"/>
      </w:pPr>
      <w:rPr>
        <w:rFonts w:ascii="宋体" w:eastAsia="宋体" w:hAnsi="宋体" w:cs="宋体" w:hint="default"/>
        <w:b w:val="0"/>
        <w:i w:val="0"/>
        <w:sz w:val="21"/>
        <w:szCs w:val="21"/>
      </w:rPr>
    </w:lvl>
    <w:lvl w:ilvl="1">
      <w:start w:val="1"/>
      <w:numFmt w:val="decimal"/>
      <w:pStyle w:val="a"/>
      <w:suff w:val="nothing"/>
      <w:lvlText w:val="%1.%2　"/>
      <w:lvlJc w:val="left"/>
      <w:pPr>
        <w:tabs>
          <w:tab w:val="left" w:pos="0"/>
        </w:tabs>
        <w:ind w:left="0" w:firstLine="0"/>
      </w:pPr>
      <w:rPr>
        <w:rFonts w:ascii="黑体" w:eastAsia="黑体" w:hAnsi="黑体" w:cs="宋体" w:hint="default"/>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YyOWEzMDY0ZWVmYzVhMGRhZTBhZmIyNmI5MzI2Y2YifQ=="/>
  </w:docVars>
  <w:rsids>
    <w:rsidRoot w:val="00EB3B78"/>
    <w:rsid w:val="000E7CFB"/>
    <w:rsid w:val="00263061"/>
    <w:rsid w:val="006D1519"/>
    <w:rsid w:val="00B439F8"/>
    <w:rsid w:val="00BE0CC5"/>
    <w:rsid w:val="00CB1796"/>
    <w:rsid w:val="00E73ECC"/>
    <w:rsid w:val="00EB3B78"/>
    <w:rsid w:val="09061CDB"/>
    <w:rsid w:val="09FE6E56"/>
    <w:rsid w:val="15C2599D"/>
    <w:rsid w:val="2C6941AB"/>
    <w:rsid w:val="31811484"/>
    <w:rsid w:val="38440A3E"/>
    <w:rsid w:val="38CA688C"/>
    <w:rsid w:val="4389761A"/>
    <w:rsid w:val="4DD45890"/>
    <w:rsid w:val="50175EEA"/>
    <w:rsid w:val="50A31ACC"/>
    <w:rsid w:val="51D13349"/>
    <w:rsid w:val="54756AF5"/>
    <w:rsid w:val="59635CB0"/>
    <w:rsid w:val="5A096F04"/>
    <w:rsid w:val="5B2E0EBB"/>
    <w:rsid w:val="5B8B1199"/>
    <w:rsid w:val="5C881CAA"/>
    <w:rsid w:val="5FE4025C"/>
    <w:rsid w:val="60A319C1"/>
    <w:rsid w:val="6A8D224E"/>
    <w:rsid w:val="70130CE6"/>
    <w:rsid w:val="7F971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EF5C23-0613-4169-BC15-5718876C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Theme="minorEastAsia" w:eastAsiaTheme="minorEastAsia" w:hAnsiTheme="minorHAnsi"/>
      <w:snapToGrid w:val="0"/>
      <w:sz w:val="21"/>
      <w:szCs w:val="21"/>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semiHidden/>
    <w:unhideWhenUsed/>
    <w:pPr>
      <w:jc w:val="left"/>
    </w:pPr>
  </w:style>
  <w:style w:type="paragraph" w:styleId="a5">
    <w:name w:val="Balloon Text"/>
    <w:basedOn w:val="a0"/>
    <w:link w:val="Char0"/>
    <w:uiPriority w:val="99"/>
    <w:semiHidden/>
    <w:unhideWhenUsed/>
    <w:rPr>
      <w:sz w:val="18"/>
      <w:szCs w:val="18"/>
    </w:rPr>
  </w:style>
  <w:style w:type="paragraph" w:styleId="a6">
    <w:name w:val="annotation subject"/>
    <w:basedOn w:val="a4"/>
    <w:next w:val="a4"/>
    <w:link w:val="Char1"/>
    <w:uiPriority w:val="99"/>
    <w:semiHidden/>
    <w:unhideWhenUsed/>
    <w:rPr>
      <w:b/>
      <w:bCs/>
    </w:rPr>
  </w:style>
  <w:style w:type="character" w:styleId="a7">
    <w:name w:val="Hyperlink"/>
    <w:basedOn w:val="a1"/>
    <w:uiPriority w:val="99"/>
    <w:semiHidden/>
    <w:unhideWhenUsed/>
    <w:rPr>
      <w:color w:val="0000FF"/>
      <w:u w:val="single"/>
    </w:rPr>
  </w:style>
  <w:style w:type="character" w:styleId="a8">
    <w:name w:val="annotation reference"/>
    <w:basedOn w:val="a1"/>
    <w:uiPriority w:val="99"/>
    <w:semiHidden/>
    <w:unhideWhenUsed/>
    <w:rPr>
      <w:sz w:val="21"/>
      <w:szCs w:val="21"/>
    </w:rPr>
  </w:style>
  <w:style w:type="paragraph" w:customStyle="1" w:styleId="a9">
    <w:name w:val="标准文件_段"/>
    <w:pPr>
      <w:autoSpaceDE w:val="0"/>
      <w:autoSpaceDN w:val="0"/>
      <w:ind w:firstLineChars="200" w:firstLine="200"/>
      <w:jc w:val="both"/>
    </w:pPr>
    <w:rPr>
      <w:rFonts w:ascii="宋体"/>
      <w:sz w:val="21"/>
    </w:rPr>
  </w:style>
  <w:style w:type="paragraph" w:customStyle="1" w:styleId="aa">
    <w:name w:val="标准文件_章标题"/>
    <w:next w:val="a9"/>
    <w:pPr>
      <w:spacing w:beforeLines="100" w:before="100" w:afterLines="100" w:after="100"/>
      <w:jc w:val="both"/>
      <w:outlineLvl w:val="0"/>
    </w:pPr>
    <w:rPr>
      <w:rFonts w:ascii="黑体" w:eastAsia="黑体"/>
      <w:sz w:val="21"/>
    </w:rPr>
  </w:style>
  <w:style w:type="paragraph" w:customStyle="1" w:styleId="a">
    <w:name w:val="一级条标题"/>
    <w:next w:val="ab"/>
    <w:pPr>
      <w:numPr>
        <w:ilvl w:val="1"/>
        <w:numId w:val="1"/>
      </w:numPr>
      <w:spacing w:beforeLines="50" w:before="156" w:afterLines="50" w:after="156"/>
      <w:outlineLvl w:val="2"/>
    </w:pPr>
    <w:rPr>
      <w:rFonts w:ascii="黑体" w:eastAsia="黑体"/>
      <w:sz w:val="21"/>
      <w:szCs w:val="21"/>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批注文字 Char"/>
    <w:basedOn w:val="a1"/>
    <w:link w:val="a4"/>
    <w:uiPriority w:val="99"/>
    <w:semiHidden/>
    <w:qFormat/>
    <w:rPr>
      <w:rFonts w:asciiTheme="minorEastAsia" w:eastAsiaTheme="minorEastAsia" w:hAnsiTheme="minorHAnsi"/>
      <w:snapToGrid w:val="0"/>
      <w:sz w:val="21"/>
      <w:szCs w:val="21"/>
      <w:lang w:val="en-GB"/>
    </w:rPr>
  </w:style>
  <w:style w:type="character" w:customStyle="1" w:styleId="Char1">
    <w:name w:val="批注主题 Char"/>
    <w:basedOn w:val="Char"/>
    <w:link w:val="a6"/>
    <w:uiPriority w:val="99"/>
    <w:semiHidden/>
    <w:qFormat/>
    <w:rPr>
      <w:rFonts w:asciiTheme="minorEastAsia" w:eastAsiaTheme="minorEastAsia" w:hAnsiTheme="minorHAnsi"/>
      <w:b/>
      <w:bCs/>
      <w:snapToGrid w:val="0"/>
      <w:sz w:val="21"/>
      <w:szCs w:val="21"/>
      <w:lang w:val="en-GB"/>
    </w:rPr>
  </w:style>
  <w:style w:type="character" w:customStyle="1" w:styleId="Char0">
    <w:name w:val="批注框文本 Char"/>
    <w:basedOn w:val="a1"/>
    <w:link w:val="a5"/>
    <w:uiPriority w:val="99"/>
    <w:semiHidden/>
    <w:rPr>
      <w:rFonts w:asciiTheme="minorEastAsia" w:eastAsiaTheme="minorEastAsia" w:hAnsiTheme="minorHAnsi"/>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cs.org.cn/ccswz/specialDetail?id=201900001000008843" TargetMode="External"/><Relationship Id="rId5" Type="http://schemas.openxmlformats.org/officeDocument/2006/relationships/hyperlink" Target="https://www.ccs.org.cn/ccswz/specialDetail?id=201900001000008843"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339</Words>
  <Characters>1935</Characters>
  <Application>Microsoft Office Word</Application>
  <DocSecurity>0</DocSecurity>
  <Lines>16</Lines>
  <Paragraphs>4</Paragraphs>
  <ScaleCrop>false</ScaleCrop>
  <Company>Microsoft</Company>
  <LinksUpToDate>false</LinksUpToDate>
  <CharactersWithSpaces>2270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2022-08-15T06:27:00Z</dcterms:created>
  <dcterms:modified xsi:type="dcterms:W3CDTF">2024-01-11T02:59:00Z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057A1C2E1FD442D0BF8A905F25B0AFE3_13</vt:lpwstr>
  </property>
</Properties>
</file>