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4"/>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sz w:val="24"/>
                <w:szCs w:val="24"/>
              </w:rPr>
            </w:pPr>
            <w:bookmarkStart w:id="0" w:name="_Hlk160009684"/>
            <w:r>
              <w:rPr>
                <w:rFonts w:hint="eastAsia"/>
                <w:sz w:val="24"/>
                <w:szCs w:val="24"/>
              </w:rPr>
              <w:t>深海齿轮传动装置</w:t>
            </w:r>
            <w:bookmarkEnd w:id="0"/>
            <w:r>
              <w:rPr>
                <w:rFonts w:hint="eastAsia"/>
                <w:sz w:val="24"/>
                <w:szCs w:val="24"/>
                <w:lang w:val="en-US" w:eastAsia="zh-CN"/>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center"/>
              <w:rPr>
                <w:rFonts w:eastAsia="宋体"/>
                <w:sz w:val="24"/>
                <w:szCs w:val="24"/>
              </w:rPr>
            </w:pPr>
            <w:r>
              <w:rPr>
                <w:rFonts w:hint="eastAsia"/>
                <w:sz w:val="24"/>
                <w:szCs w:val="24"/>
                <w:lang w:val="en-US" w:eastAsia="zh-CN"/>
              </w:rPr>
              <w:t>T</w:t>
            </w:r>
            <w:r>
              <w:rPr>
                <w:rFonts w:hint="eastAsia"/>
                <w:sz w:val="24"/>
                <w:szCs w:val="24"/>
              </w:rPr>
              <w:t>echnical requirements</w:t>
            </w:r>
            <w:r>
              <w:rPr>
                <w:sz w:val="24"/>
                <w:szCs w:val="24"/>
              </w:rPr>
              <w:t xml:space="preserve"> for deep-sea gear drives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szCs w:val="24"/>
              </w:rPr>
            </w:pPr>
            <w:r>
              <w:rPr>
                <w:rFonts w:hint="eastAsia" w:ascii="宋体" w:hAnsi="宋体"/>
                <w:sz w:val="24"/>
                <w:szCs w:val="24"/>
              </w:rPr>
              <w:sym w:font="Wingdings 2" w:char="0052"/>
            </w:r>
            <w:r>
              <w:rPr>
                <w:rFonts w:hint="eastAsia" w:ascii="宋体" w:hAnsi="宋体"/>
                <w:sz w:val="24"/>
                <w:szCs w:val="24"/>
              </w:rPr>
              <w:t xml:space="preserve">制定 </w:t>
            </w:r>
            <w:r>
              <w:rPr>
                <w:rFonts w:cs="Calibri"/>
                <w:sz w:val="24"/>
                <w:szCs w:val="24"/>
              </w:rPr>
              <w:t xml:space="preserve">  </w:t>
            </w:r>
            <w:r>
              <w:rPr>
                <w:rFonts w:hint="eastAsia" w:ascii="宋体" w:hAnsi="宋体"/>
                <w:sz w:val="24"/>
                <w:szCs w:val="24"/>
              </w:rPr>
              <w:t>□修订</w:t>
            </w:r>
          </w:p>
        </w:tc>
        <w:tc>
          <w:tcPr>
            <w:tcW w:w="1701" w:type="dxa"/>
            <w:gridSpan w:val="3"/>
            <w:vAlign w:val="center"/>
          </w:tcPr>
          <w:p>
            <w:pPr>
              <w:jc w:val="center"/>
              <w:rPr>
                <w:sz w:val="24"/>
                <w:szCs w:val="24"/>
              </w:rPr>
            </w:pPr>
            <w:r>
              <w:rPr>
                <w:rFonts w:hint="eastAsia" w:ascii="宋体" w:hAnsi="宋体"/>
                <w:sz w:val="24"/>
                <w:szCs w:val="24"/>
              </w:rPr>
              <w:t>被修订标准号</w:t>
            </w:r>
          </w:p>
        </w:tc>
        <w:tc>
          <w:tcPr>
            <w:tcW w:w="3383" w:type="dxa"/>
            <w:gridSpan w:val="2"/>
            <w:vAlign w:val="center"/>
          </w:tcPr>
          <w:p>
            <w:pPr>
              <w:rPr>
                <w:sz w:val="24"/>
                <w:szCs w:val="24"/>
              </w:rPr>
            </w:pPr>
            <w:r>
              <w:rPr>
                <w:rFonts w:cs="Calibri"/>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宋体"/>
                <w:sz w:val="24"/>
                <w:szCs w:val="24"/>
                <w:lang w:val="en-US"/>
              </w:rPr>
            </w:pPr>
            <w:r>
              <w:rPr>
                <w:rFonts w:hint="eastAsia" w:hAnsi="宋体"/>
                <w:sz w:val="24"/>
                <w:szCs w:val="24"/>
                <w:lang w:val="en-US"/>
              </w:rPr>
              <w:t>-</w:t>
            </w:r>
          </w:p>
        </w:tc>
        <w:tc>
          <w:tcPr>
            <w:tcW w:w="1701" w:type="dxa"/>
            <w:gridSpan w:val="3"/>
            <w:vAlign w:val="center"/>
          </w:tcPr>
          <w:p>
            <w:pPr>
              <w:jc w:val="center"/>
              <w:rPr>
                <w:sz w:val="24"/>
                <w:szCs w:val="24"/>
              </w:rPr>
            </w:pPr>
            <w:r>
              <w:rPr>
                <w:rFonts w:hint="eastAsia" w:ascii="宋体" w:hAnsi="宋体"/>
                <w:sz w:val="24"/>
                <w:szCs w:val="24"/>
              </w:rPr>
              <w:t>采标形式</w:t>
            </w:r>
          </w:p>
        </w:tc>
        <w:tc>
          <w:tcPr>
            <w:tcW w:w="3383" w:type="dxa"/>
            <w:gridSpan w:val="2"/>
            <w:vAlign w:val="center"/>
          </w:tcPr>
          <w:p>
            <w:pPr>
              <w:rPr>
                <w:rFonts w:hAnsi="宋体"/>
                <w:sz w:val="24"/>
                <w:szCs w:val="24"/>
              </w:rPr>
            </w:pPr>
            <w:r>
              <w:rPr>
                <w:rFonts w:hint="eastAsia" w:ascii="宋体" w:hAnsi="宋体"/>
                <w:sz w:val="24"/>
                <w:szCs w:val="24"/>
              </w:rPr>
              <w:t xml:space="preserve">□等同采用 </w:t>
            </w:r>
            <w:r>
              <w:rPr>
                <w:rFonts w:cs="Calibri"/>
                <w:sz w:val="24"/>
                <w:szCs w:val="24"/>
              </w:rPr>
              <w:t xml:space="preserve">  </w:t>
            </w:r>
            <w:r>
              <w:rPr>
                <w:rFonts w:hint="eastAsia" w:ascii="宋体" w:hAnsi="宋体"/>
                <w:sz w:val="24"/>
                <w:szCs w:val="24"/>
              </w:rPr>
              <w:t>□修改采用</w:t>
            </w:r>
          </w:p>
          <w:p>
            <w:pPr>
              <w:rPr>
                <w:sz w:val="24"/>
                <w:szCs w:val="24"/>
              </w:rPr>
            </w:pPr>
            <w:r>
              <w:rPr>
                <w:rFonts w:hint="eastAsia" w:ascii="宋体" w:hAnsi="宋体"/>
                <w:sz w:val="24"/>
                <w:szCs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宋体"/>
                <w:sz w:val="24"/>
                <w:szCs w:val="24"/>
                <w:u w:val="single"/>
              </w:rPr>
            </w:pPr>
            <w:r>
              <w:rPr>
                <w:rFonts w:hint="eastAsia" w:ascii="宋体" w:hAnsi="宋体"/>
                <w:sz w:val="24"/>
                <w:szCs w:val="24"/>
              </w:rPr>
              <w:sym w:font="Wingdings 2" w:char="0052"/>
            </w:r>
            <w:r>
              <w:rPr>
                <w:rFonts w:hint="eastAsia" w:cs="Calibri"/>
                <w:sz w:val="24"/>
                <w:szCs w:val="24"/>
              </w:rPr>
              <w:t>12</w:t>
            </w:r>
            <w:r>
              <w:rPr>
                <w:rFonts w:hint="eastAsia" w:ascii="宋体" w:hAnsi="宋体"/>
                <w:sz w:val="24"/>
                <w:szCs w:val="24"/>
              </w:rPr>
              <w:t xml:space="preserve">个月 </w:t>
            </w:r>
            <w:r>
              <w:rPr>
                <w:rFonts w:cs="Calibri"/>
                <w:sz w:val="24"/>
                <w:szCs w:val="24"/>
              </w:rPr>
              <w:t xml:space="preserve">  </w:t>
            </w:r>
            <w:r>
              <w:rPr>
                <w:rFonts w:hint="eastAsia" w:ascii="宋体" w:hAnsi="宋体"/>
                <w:sz w:val="24"/>
                <w:szCs w:val="24"/>
              </w:rPr>
              <w:t>□</w:t>
            </w:r>
            <w:r>
              <w:rPr>
                <w:rFonts w:hint="eastAsia" w:cs="Calibri"/>
                <w:sz w:val="24"/>
                <w:szCs w:val="24"/>
              </w:rPr>
              <w:t>18</w:t>
            </w:r>
            <w:r>
              <w:rPr>
                <w:rFonts w:hint="eastAsia" w:ascii="宋体" w:hAnsi="宋体"/>
                <w:sz w:val="24"/>
                <w:szCs w:val="24"/>
              </w:rPr>
              <w:t xml:space="preserve">个月 </w:t>
            </w:r>
            <w:r>
              <w:rPr>
                <w:rFonts w:cs="Calibri"/>
                <w:sz w:val="24"/>
                <w:szCs w:val="24"/>
              </w:rPr>
              <w:t xml:space="preserve">  </w:t>
            </w:r>
            <w:r>
              <w:rPr>
                <w:rFonts w:hint="eastAsia" w:ascii="宋体" w:hAnsi="宋体"/>
                <w:sz w:val="24"/>
                <w:szCs w:val="24"/>
              </w:rPr>
              <w:t>□其他</w:t>
            </w:r>
            <w:r>
              <w:rPr>
                <w:rFonts w:cs="Calibri"/>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rPr>
                <w:sz w:val="24"/>
                <w:szCs w:val="24"/>
                <w:lang w:val="en-US"/>
              </w:rPr>
            </w:pPr>
            <w:r>
              <w:rPr>
                <w:rFonts w:hint="eastAsia"/>
                <w:sz w:val="24"/>
                <w:szCs w:val="24"/>
                <w:lang w:val="en-US" w:eastAsia="zh-CN"/>
              </w:rPr>
              <w:t>中国船舶科学研究中心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rFonts w:hint="default" w:eastAsia="宋体" w:cs="Times New Roman" w:asciiTheme="minorEastAsia" w:hAnsiTheme="minorHAnsi"/>
                <w:snapToGrid w:val="0"/>
                <w:sz w:val="24"/>
                <w:szCs w:val="24"/>
                <w:lang w:val="en-US" w:eastAsia="zh-CN" w:bidi="ar-SA"/>
              </w:rPr>
            </w:pPr>
            <w:r>
              <w:rPr>
                <w:rFonts w:hint="eastAsia"/>
                <w:sz w:val="24"/>
                <w:szCs w:val="24"/>
                <w:lang w:val="en-US" w:eastAsia="zh-CN"/>
              </w:rPr>
              <w:t>陈垦</w:t>
            </w:r>
          </w:p>
        </w:tc>
        <w:tc>
          <w:tcPr>
            <w:tcW w:w="850" w:type="dxa"/>
            <w:gridSpan w:val="2"/>
            <w:vAlign w:val="center"/>
          </w:tcPr>
          <w:p>
            <w:pPr>
              <w:jc w:val="center"/>
              <w:rPr>
                <w:sz w:val="24"/>
                <w:szCs w:val="24"/>
              </w:rPr>
            </w:pPr>
            <w:r>
              <w:rPr>
                <w:rFonts w:hint="eastAsia" w:ascii="宋体" w:hAnsi="宋体"/>
                <w:sz w:val="24"/>
                <w:szCs w:val="24"/>
              </w:rPr>
              <w:t>地址</w:t>
            </w:r>
          </w:p>
        </w:tc>
        <w:tc>
          <w:tcPr>
            <w:tcW w:w="4234" w:type="dxa"/>
            <w:gridSpan w:val="3"/>
            <w:vAlign w:val="center"/>
          </w:tcPr>
          <w:p>
            <w:pPr>
              <w:jc w:val="center"/>
              <w:rPr>
                <w:rFonts w:hint="default" w:eastAsia="宋体" w:cs="Times New Roman" w:asciiTheme="minorEastAsia" w:hAnsiTheme="minorHAnsi"/>
                <w:snapToGrid w:val="0"/>
                <w:sz w:val="24"/>
                <w:szCs w:val="24"/>
                <w:lang w:val="en-US" w:eastAsia="zh-CN" w:bidi="ar-SA"/>
              </w:rPr>
            </w:pPr>
            <w:r>
              <w:rPr>
                <w:rFonts w:hint="eastAsia"/>
                <w:sz w:val="24"/>
                <w:szCs w:val="24"/>
                <w:lang w:val="en-US" w:eastAsia="zh-CN"/>
              </w:rPr>
              <w:t>上海市黄浦区高雄路185号702所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rFonts w:hint="default" w:eastAsia="宋体" w:cs="Times New Roman" w:asciiTheme="minorEastAsia" w:hAnsiTheme="minorHAnsi"/>
                <w:snapToGrid w:val="0"/>
                <w:sz w:val="24"/>
                <w:szCs w:val="24"/>
                <w:lang w:val="en-US" w:eastAsia="zh-CN" w:bidi="ar-SA"/>
              </w:rPr>
            </w:pPr>
            <w:r>
              <w:rPr>
                <w:rFonts w:hint="eastAsia"/>
                <w:sz w:val="24"/>
                <w:szCs w:val="24"/>
                <w:lang w:val="en-US" w:eastAsia="zh-CN"/>
              </w:rPr>
              <w:t>15152206298</w:t>
            </w:r>
          </w:p>
        </w:tc>
        <w:tc>
          <w:tcPr>
            <w:tcW w:w="850" w:type="dxa"/>
            <w:gridSpan w:val="2"/>
            <w:vAlign w:val="center"/>
          </w:tcPr>
          <w:p>
            <w:pPr>
              <w:jc w:val="center"/>
              <w:rPr>
                <w:sz w:val="24"/>
                <w:szCs w:val="24"/>
              </w:rPr>
            </w:pPr>
            <w:r>
              <w:rPr>
                <w:rFonts w:hint="eastAsia" w:ascii="宋体" w:hAnsi="宋体"/>
                <w:sz w:val="24"/>
                <w:szCs w:val="24"/>
              </w:rPr>
              <w:t>邮箱</w:t>
            </w:r>
          </w:p>
        </w:tc>
        <w:tc>
          <w:tcPr>
            <w:tcW w:w="4234" w:type="dxa"/>
            <w:gridSpan w:val="3"/>
            <w:vAlign w:val="center"/>
          </w:tcPr>
          <w:p>
            <w:pPr>
              <w:jc w:val="center"/>
              <w:rPr>
                <w:rFonts w:hint="default" w:eastAsia="宋体" w:cs="Times New Roman" w:asciiTheme="minorEastAsia" w:hAnsiTheme="minorHAnsi"/>
                <w:snapToGrid w:val="0"/>
                <w:sz w:val="24"/>
                <w:szCs w:val="24"/>
                <w:lang w:val="en-US" w:eastAsia="zh-CN" w:bidi="ar-SA"/>
              </w:rPr>
            </w:pPr>
            <w:r>
              <w:rPr>
                <w:rFonts w:hint="eastAsia"/>
                <w:sz w:val="24"/>
                <w:szCs w:val="24"/>
                <w:lang w:val="en-US" w:eastAsia="zh-CN"/>
              </w:rPr>
              <w:t>wwwchen678@126.com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vAlign w:val="top"/>
          </w:tcPr>
          <w:p>
            <w:pPr>
              <w:rPr>
                <w:rFonts w:cs="Times New Roman" w:asciiTheme="minorEastAsia" w:hAnsiTheme="minorHAnsi" w:eastAsiaTheme="minorEastAsia"/>
                <w:snapToGrid w:val="0"/>
                <w:sz w:val="24"/>
                <w:szCs w:val="24"/>
                <w:lang w:val="en-GB" w:eastAsia="zh-CN" w:bidi="ar-SA"/>
              </w:rPr>
            </w:pPr>
            <w:r>
              <w:rPr>
                <w:rFonts w:hint="eastAsia"/>
                <w:sz w:val="24"/>
                <w:szCs w:val="24"/>
                <w:lang w:val="en-US" w:eastAsia="zh-CN"/>
              </w:rPr>
              <w:t>深海齿轮传动系统是海洋矿产资源开采装备、深海挖沟机、深海重载作业机器人传输动力的核心部件，也是制约高端海洋装备尤其深海采矿装备服役性能的关重件，国内尚无相关标准规范深海齿轮传动系统的发展，因而制定满足深海服役环境的齿轮传动系统标准对推动该领域海洋装备的发展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vAlign w:val="top"/>
          </w:tcPr>
          <w:p>
            <w:pPr>
              <w:rPr>
                <w:rFonts w:hint="eastAsia"/>
                <w:sz w:val="24"/>
                <w:szCs w:val="24"/>
                <w:lang w:val="en-US" w:eastAsia="zh-CN"/>
              </w:rPr>
            </w:pPr>
            <w:r>
              <w:rPr>
                <w:rFonts w:hint="eastAsia"/>
                <w:sz w:val="24"/>
                <w:szCs w:val="24"/>
                <w:lang w:val="en-US" w:eastAsia="zh-CN"/>
              </w:rPr>
              <w:t>本标准适用于深海作业装备行走机构齿轮传动装置、矿物切削机构齿轮传动装置、海底机械式开沟机构齿轮传动装置。</w:t>
            </w:r>
          </w:p>
          <w:p>
            <w:pPr>
              <w:rPr>
                <w:rFonts w:cs="Times New Roman" w:asciiTheme="minorEastAsia" w:hAnsiTheme="minorHAnsi" w:eastAsiaTheme="minorEastAsia"/>
                <w:i/>
                <w:snapToGrid w:val="0"/>
                <w:sz w:val="24"/>
                <w:szCs w:val="24"/>
                <w:u w:val="single"/>
                <w:lang w:val="en-GB" w:eastAsia="zh-CN" w:bidi="ar-SA"/>
              </w:rPr>
            </w:pPr>
            <w:r>
              <w:rPr>
                <w:rFonts w:hint="eastAsia"/>
                <w:sz w:val="24"/>
                <w:szCs w:val="24"/>
                <w:lang w:val="en-US" w:eastAsia="zh-CN"/>
              </w:rPr>
              <w:t>本标准主要技术内容是深海齿轮传动装置应开展的试验，分为型号试验和出厂试验。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vAlign w:val="top"/>
          </w:tcPr>
          <w:p>
            <w:pPr>
              <w:rPr>
                <w:rFonts w:ascii="黑体" w:hAnsi="宋体" w:eastAsia="黑体" w:cs="Times New Roman"/>
                <w:snapToGrid w:val="0"/>
                <w:color w:val="000000"/>
                <w:sz w:val="24"/>
                <w:szCs w:val="24"/>
                <w:lang w:val="en-GB" w:eastAsia="zh-CN" w:bidi="ar-SA"/>
              </w:rPr>
            </w:pPr>
            <w:r>
              <w:rPr>
                <w:rFonts w:hint="eastAsia"/>
                <w:sz w:val="24"/>
                <w:szCs w:val="24"/>
                <w:lang w:val="en-US" w:eastAsia="zh-CN"/>
              </w:rPr>
              <w:t>国外深海齿轮传动系统在深海采矿车的履带行走系统和切削机构部件上</w:t>
            </w:r>
            <w:bookmarkStart w:id="1" w:name="_GoBack"/>
            <w:bookmarkEnd w:id="1"/>
            <w:r>
              <w:rPr>
                <w:rFonts w:hint="eastAsia"/>
                <w:sz w:val="24"/>
                <w:szCs w:val="24"/>
                <w:lang w:val="en-US" w:eastAsia="zh-CN"/>
              </w:rPr>
              <w:t>已有应用，但无专门针对深海齿轮传动系统的试验标准。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技术基础及</w:t>
            </w:r>
          </w:p>
          <w:p>
            <w:pPr>
              <w:widowControl/>
              <w:jc w:val="center"/>
              <w:rPr>
                <w:rFonts w:ascii="宋体" w:hAnsi="宋体"/>
                <w:sz w:val="24"/>
              </w:rPr>
            </w:pPr>
            <w:r>
              <w:rPr>
                <w:rFonts w:hint="eastAsia" w:ascii="宋体" w:hAnsi="宋体"/>
                <w:sz w:val="24"/>
              </w:rPr>
              <w:t>研究团队</w:t>
            </w:r>
          </w:p>
        </w:tc>
        <w:tc>
          <w:tcPr>
            <w:tcW w:w="7210" w:type="dxa"/>
            <w:gridSpan w:val="6"/>
          </w:tcPr>
          <w:p>
            <w:pPr>
              <w:jc w:val="both"/>
              <w:rPr>
                <w:rFonts w:hint="default"/>
                <w:sz w:val="24"/>
                <w:szCs w:val="24"/>
                <w:lang w:val="en-US" w:eastAsia="zh-CN"/>
              </w:rPr>
            </w:pPr>
            <w:r>
              <w:rPr>
                <w:rFonts w:hint="eastAsia"/>
                <w:sz w:val="24"/>
                <w:szCs w:val="24"/>
                <w:lang w:val="en-US" w:eastAsia="zh-CN"/>
              </w:rPr>
              <w:t>国家重点研发计划立项支持了“高抗压耐腐蚀齿轮传动系统关键技术”，重庆齿轮箱有限责任公司为项目牵头单位，中国船舶科学研究中心为课题牵头单位。</w:t>
            </w:r>
          </w:p>
          <w:p>
            <w:pPr>
              <w:jc w:val="both"/>
              <w:rPr>
                <w:rFonts w:hint="eastAsia" w:eastAsiaTheme="minorEastAsia"/>
                <w:sz w:val="24"/>
                <w:szCs w:val="24"/>
                <w:lang w:val="en-US" w:eastAsia="zh-CN"/>
              </w:rPr>
            </w:pPr>
            <w:r>
              <w:rPr>
                <w:rFonts w:hint="eastAsia"/>
                <w:sz w:val="24"/>
                <w:szCs w:val="24"/>
                <w:lang w:val="en-US" w:eastAsia="zh-CN"/>
              </w:rPr>
              <w:t>本标准的研究团队拟包含：中国船舶科学研究中心、重庆齿轮箱有限责任公司、深海技术科学太湖实验室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0" w:hRule="atLeas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rPr>
              <w:t>中国造船工程学会意见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pPr>
      <w:r>
        <w:rPr>
          <w:rFonts w:hint="eastAsia" w:hAnsiTheme="minorEastAsia"/>
        </w:rPr>
        <w:t>注：如本表空间不够，可另附页。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M5MTUxMTljNzMzMDFmMjRiOWJmYmM3ZDQzZTE0NDEifQ=="/>
  </w:docVars>
  <w:rsids>
    <w:rsidRoot w:val="00EB3B78"/>
    <w:rsid w:val="0019626C"/>
    <w:rsid w:val="00283DE7"/>
    <w:rsid w:val="00342665"/>
    <w:rsid w:val="005E7D40"/>
    <w:rsid w:val="00605ECC"/>
    <w:rsid w:val="00642F8B"/>
    <w:rsid w:val="00766C76"/>
    <w:rsid w:val="007878C6"/>
    <w:rsid w:val="00837D5D"/>
    <w:rsid w:val="008933CD"/>
    <w:rsid w:val="00AB63CE"/>
    <w:rsid w:val="00B439F8"/>
    <w:rsid w:val="00EB3B78"/>
    <w:rsid w:val="00FF4CE4"/>
    <w:rsid w:val="01D6556A"/>
    <w:rsid w:val="0F0036B2"/>
    <w:rsid w:val="15CA2227"/>
    <w:rsid w:val="367855F6"/>
    <w:rsid w:val="3AB3345E"/>
    <w:rsid w:val="469112E2"/>
    <w:rsid w:val="46AB65B2"/>
    <w:rsid w:val="6374599C"/>
    <w:rsid w:val="7EF30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paragraph" w:customStyle="1" w:styleId="7">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2"/>
      <w:sz w:val="21"/>
      <w:szCs w:val="22"/>
      <w:lang w:val="en-US" w:eastAsia="zh-CN" w:bidi="ar-SA"/>
    </w:rPr>
  </w:style>
  <w:style w:type="character" w:customStyle="1" w:styleId="8">
    <w:name w:val="页眉 字符"/>
    <w:basedOn w:val="5"/>
    <w:link w:val="3"/>
    <w:qFormat/>
    <w:uiPriority w:val="99"/>
    <w:rPr>
      <w:rFonts w:cs="Times New Roman" w:asciiTheme="minorEastAsia"/>
      <w:snapToGrid w:val="0"/>
      <w:sz w:val="18"/>
      <w:szCs w:val="18"/>
      <w:lang w:val="en-GB"/>
    </w:rPr>
  </w:style>
  <w:style w:type="character" w:customStyle="1" w:styleId="9">
    <w:name w:val="页脚 字符"/>
    <w:basedOn w:val="5"/>
    <w:link w:val="2"/>
    <w:qFormat/>
    <w:uiPriority w:val="99"/>
    <w:rPr>
      <w:rFonts w:cs="Times New Roman" w:asciiTheme="minorEastAsia"/>
      <w:snapToGrid w:val="0"/>
      <w:sz w:val="18"/>
      <w:szCs w:val="18"/>
      <w:lang w:val="en-G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222</Words>
  <Characters>225</Characters>
  <Lines>2</Lines>
  <Paragraphs>1</Paragraphs>
  <TotalTime>2</TotalTime>
  <ScaleCrop>false</ScaleCrop>
  <LinksUpToDate>false</LinksUpToDate>
  <CharactersWithSpaces>324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子麦</cp:lastModifiedBy>
  <dcterms:modified xsi:type="dcterms:W3CDTF">2024-06-13T09:21:00Z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0A99FF815B694A5EA2DF4C6F1DFF22E9</vt:lpwstr>
  </property>
</Properties>
</file>