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66143A" w14:textId="77777777" w:rsidR="00261432" w:rsidRDefault="00000000">
      <w:pPr>
        <w:spacing w:line="360" w:lineRule="auto"/>
        <w:jc w:val="left"/>
        <w:rPr>
          <w:rFonts w:ascii="黑体" w:eastAsia="黑体" w:hAnsi="华文细黑" w:hint="eastAsia"/>
          <w:sz w:val="24"/>
        </w:rPr>
      </w:pPr>
      <w:r>
        <w:rPr>
          <w:rFonts w:ascii="黑体" w:eastAsia="黑体" w:hAnsi="华文细黑" w:hint="eastAsia"/>
          <w:sz w:val="24"/>
        </w:rPr>
        <w:t>附件1</w:t>
      </w:r>
    </w:p>
    <w:p w14:paraId="4F22992F" w14:textId="77777777" w:rsidR="00261432" w:rsidRDefault="00000000">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261432" w14:paraId="5623C659" w14:textId="77777777">
        <w:trPr>
          <w:trHeight w:val="605"/>
          <w:jc w:val="center"/>
        </w:trPr>
        <w:tc>
          <w:tcPr>
            <w:tcW w:w="2025" w:type="dxa"/>
            <w:vAlign w:val="center"/>
          </w:tcPr>
          <w:p w14:paraId="7D5B8F0A" w14:textId="77777777" w:rsidR="00261432" w:rsidRDefault="00000000">
            <w:pPr>
              <w:jc w:val="center"/>
              <w:rPr>
                <w:sz w:val="24"/>
              </w:rPr>
            </w:pPr>
            <w:r>
              <w:rPr>
                <w:rFonts w:hint="eastAsia"/>
                <w:sz w:val="24"/>
              </w:rPr>
              <w:t>项目名称</w:t>
            </w:r>
          </w:p>
          <w:p w14:paraId="3C8B7336" w14:textId="77777777" w:rsidR="00261432" w:rsidRDefault="00000000">
            <w:pPr>
              <w:jc w:val="center"/>
              <w:rPr>
                <w:sz w:val="24"/>
              </w:rPr>
            </w:pPr>
            <w:r>
              <w:rPr>
                <w:rFonts w:hint="eastAsia"/>
                <w:sz w:val="24"/>
              </w:rPr>
              <w:t>（中文）</w:t>
            </w:r>
          </w:p>
        </w:tc>
        <w:tc>
          <w:tcPr>
            <w:tcW w:w="7210" w:type="dxa"/>
            <w:gridSpan w:val="6"/>
            <w:vAlign w:val="center"/>
          </w:tcPr>
          <w:p w14:paraId="4CCFACC4" w14:textId="77777777" w:rsidR="00261432" w:rsidRDefault="00000000">
            <w:pPr>
              <w:jc w:val="center"/>
              <w:rPr>
                <w:sz w:val="24"/>
              </w:rPr>
            </w:pPr>
            <w:r>
              <w:rPr>
                <w:rFonts w:ascii="宋体" w:hAnsi="宋体" w:cs="宋体"/>
                <w:sz w:val="24"/>
                <w:szCs w:val="24"/>
                <w:lang w:val="en-US"/>
              </w:rPr>
              <w:t>电动船舶能量管理系统技术要求</w:t>
            </w:r>
          </w:p>
        </w:tc>
      </w:tr>
      <w:tr w:rsidR="00261432" w14:paraId="7B54DFEA" w14:textId="77777777">
        <w:trPr>
          <w:trHeight w:val="605"/>
          <w:jc w:val="center"/>
        </w:trPr>
        <w:tc>
          <w:tcPr>
            <w:tcW w:w="2025" w:type="dxa"/>
            <w:vAlign w:val="center"/>
          </w:tcPr>
          <w:p w14:paraId="357D3ACB" w14:textId="77777777" w:rsidR="00261432" w:rsidRDefault="00000000">
            <w:pPr>
              <w:jc w:val="center"/>
              <w:rPr>
                <w:sz w:val="24"/>
              </w:rPr>
            </w:pPr>
            <w:r>
              <w:rPr>
                <w:rFonts w:hint="eastAsia"/>
                <w:sz w:val="24"/>
              </w:rPr>
              <w:t>项目名称</w:t>
            </w:r>
          </w:p>
          <w:p w14:paraId="20455E42" w14:textId="77777777" w:rsidR="00261432" w:rsidRDefault="00000000">
            <w:pPr>
              <w:jc w:val="center"/>
              <w:rPr>
                <w:sz w:val="24"/>
              </w:rPr>
            </w:pPr>
            <w:r>
              <w:rPr>
                <w:rFonts w:hint="eastAsia"/>
                <w:sz w:val="24"/>
              </w:rPr>
              <w:t>（英文）</w:t>
            </w:r>
          </w:p>
        </w:tc>
        <w:tc>
          <w:tcPr>
            <w:tcW w:w="7210" w:type="dxa"/>
            <w:gridSpan w:val="6"/>
            <w:vAlign w:val="center"/>
          </w:tcPr>
          <w:p w14:paraId="203DBBA8" w14:textId="20714D35" w:rsidR="00261432" w:rsidRDefault="00000000">
            <w:pPr>
              <w:jc w:val="center"/>
              <w:rPr>
                <w:sz w:val="24"/>
              </w:rPr>
            </w:pPr>
            <w:r>
              <w:rPr>
                <w:rFonts w:eastAsia="黑体" w:hint="eastAsia"/>
                <w:szCs w:val="28"/>
              </w:rPr>
              <w:t xml:space="preserve">Technical requirements </w:t>
            </w:r>
            <w:r w:rsidR="006A1A9C">
              <w:rPr>
                <w:rFonts w:eastAsia="黑体" w:hint="eastAsia"/>
                <w:szCs w:val="28"/>
              </w:rPr>
              <w:t xml:space="preserve">of </w:t>
            </w:r>
            <w:r>
              <w:rPr>
                <w:rFonts w:eastAsia="黑体" w:hint="eastAsia"/>
                <w:szCs w:val="28"/>
              </w:rPr>
              <w:t xml:space="preserve">energy management system </w:t>
            </w:r>
            <w:r w:rsidR="006A1A9C">
              <w:rPr>
                <w:rFonts w:eastAsia="黑体" w:hint="eastAsia"/>
                <w:szCs w:val="28"/>
              </w:rPr>
              <w:t>for e</w:t>
            </w:r>
            <w:r>
              <w:rPr>
                <w:rFonts w:eastAsia="黑体"/>
                <w:szCs w:val="28"/>
              </w:rPr>
              <w:t>lectric ship</w:t>
            </w:r>
          </w:p>
        </w:tc>
      </w:tr>
      <w:tr w:rsidR="00261432" w14:paraId="55DC6D50" w14:textId="77777777">
        <w:trPr>
          <w:trHeight w:val="540"/>
          <w:jc w:val="center"/>
        </w:trPr>
        <w:tc>
          <w:tcPr>
            <w:tcW w:w="2025" w:type="dxa"/>
            <w:vAlign w:val="center"/>
          </w:tcPr>
          <w:p w14:paraId="021F0395" w14:textId="77777777" w:rsidR="00261432" w:rsidRDefault="00000000">
            <w:pPr>
              <w:jc w:val="center"/>
              <w:rPr>
                <w:sz w:val="24"/>
              </w:rPr>
            </w:pPr>
            <w:r>
              <w:rPr>
                <w:rFonts w:hint="eastAsia"/>
                <w:sz w:val="24"/>
              </w:rPr>
              <w:t>制修订</w:t>
            </w:r>
          </w:p>
        </w:tc>
        <w:tc>
          <w:tcPr>
            <w:tcW w:w="2126" w:type="dxa"/>
            <w:vAlign w:val="center"/>
          </w:tcPr>
          <w:p w14:paraId="7AD90A12" w14:textId="77777777" w:rsidR="00261432" w:rsidRDefault="00000000">
            <w:pPr>
              <w:jc w:val="center"/>
              <w:rPr>
                <w:sz w:val="24"/>
              </w:rPr>
            </w:pPr>
            <w:r>
              <w:rPr>
                <w:rFonts w:hAnsiTheme="minorEastAsia"/>
                <w:sz w:val="24"/>
                <w:lang w:val="en-US"/>
              </w:rPr>
              <w:t>☑</w:t>
            </w:r>
            <w:r>
              <w:rPr>
                <w:rFonts w:hAnsiTheme="minorEastAsia" w:hint="eastAsia"/>
                <w:sz w:val="24"/>
              </w:rPr>
              <w:t>制定   □修订</w:t>
            </w:r>
          </w:p>
        </w:tc>
        <w:tc>
          <w:tcPr>
            <w:tcW w:w="1701" w:type="dxa"/>
            <w:gridSpan w:val="3"/>
            <w:vAlign w:val="center"/>
          </w:tcPr>
          <w:p w14:paraId="7364556A" w14:textId="77777777" w:rsidR="00261432" w:rsidRDefault="00000000">
            <w:pPr>
              <w:jc w:val="center"/>
              <w:rPr>
                <w:sz w:val="24"/>
              </w:rPr>
            </w:pPr>
            <w:r>
              <w:rPr>
                <w:rFonts w:hint="eastAsia"/>
                <w:sz w:val="24"/>
              </w:rPr>
              <w:t>被修订标准号</w:t>
            </w:r>
          </w:p>
        </w:tc>
        <w:tc>
          <w:tcPr>
            <w:tcW w:w="3383" w:type="dxa"/>
            <w:gridSpan w:val="2"/>
            <w:vAlign w:val="center"/>
          </w:tcPr>
          <w:p w14:paraId="6B2DC49B" w14:textId="5B31CC23" w:rsidR="00261432" w:rsidRDefault="00261432">
            <w:pPr>
              <w:rPr>
                <w:sz w:val="24"/>
              </w:rPr>
            </w:pPr>
          </w:p>
        </w:tc>
      </w:tr>
      <w:tr w:rsidR="00261432" w14:paraId="0D4D837A" w14:textId="77777777">
        <w:trPr>
          <w:trHeight w:val="540"/>
          <w:jc w:val="center"/>
        </w:trPr>
        <w:tc>
          <w:tcPr>
            <w:tcW w:w="2025" w:type="dxa"/>
            <w:vAlign w:val="center"/>
          </w:tcPr>
          <w:p w14:paraId="045A6B69" w14:textId="77777777" w:rsidR="00261432" w:rsidRDefault="00000000">
            <w:pPr>
              <w:jc w:val="center"/>
              <w:rPr>
                <w:sz w:val="24"/>
              </w:rPr>
            </w:pPr>
            <w:r>
              <w:rPr>
                <w:rFonts w:hint="eastAsia"/>
                <w:sz w:val="24"/>
              </w:rPr>
              <w:t>采标编号及名称</w:t>
            </w:r>
          </w:p>
        </w:tc>
        <w:tc>
          <w:tcPr>
            <w:tcW w:w="2126" w:type="dxa"/>
            <w:vAlign w:val="center"/>
          </w:tcPr>
          <w:p w14:paraId="1BD74A5A" w14:textId="77777777" w:rsidR="00261432" w:rsidRDefault="00261432">
            <w:pPr>
              <w:jc w:val="center"/>
              <w:rPr>
                <w:rFonts w:hAnsiTheme="minorEastAsia" w:hint="eastAsia"/>
                <w:sz w:val="24"/>
              </w:rPr>
            </w:pPr>
          </w:p>
        </w:tc>
        <w:tc>
          <w:tcPr>
            <w:tcW w:w="1701" w:type="dxa"/>
            <w:gridSpan w:val="3"/>
            <w:vAlign w:val="center"/>
          </w:tcPr>
          <w:p w14:paraId="2D4C22CE" w14:textId="77777777" w:rsidR="00261432" w:rsidRDefault="00000000">
            <w:pPr>
              <w:jc w:val="center"/>
              <w:rPr>
                <w:sz w:val="24"/>
              </w:rPr>
            </w:pPr>
            <w:r>
              <w:rPr>
                <w:rFonts w:hint="eastAsia"/>
                <w:sz w:val="24"/>
              </w:rPr>
              <w:t>采标形式</w:t>
            </w:r>
          </w:p>
        </w:tc>
        <w:tc>
          <w:tcPr>
            <w:tcW w:w="3383" w:type="dxa"/>
            <w:gridSpan w:val="2"/>
            <w:vAlign w:val="center"/>
          </w:tcPr>
          <w:p w14:paraId="5CE016F2" w14:textId="77777777" w:rsidR="00261432" w:rsidRDefault="00000000">
            <w:pPr>
              <w:rPr>
                <w:rFonts w:hAnsiTheme="minorEastAsia" w:hint="eastAsia"/>
                <w:sz w:val="24"/>
              </w:rPr>
            </w:pPr>
            <w:r>
              <w:rPr>
                <w:rFonts w:hAnsiTheme="minorEastAsia" w:hint="eastAsia"/>
                <w:sz w:val="24"/>
              </w:rPr>
              <w:t>□等同采用   □修改采用</w:t>
            </w:r>
          </w:p>
          <w:p w14:paraId="1BDD2127" w14:textId="77777777" w:rsidR="00261432" w:rsidRDefault="00000000">
            <w:pPr>
              <w:rPr>
                <w:sz w:val="24"/>
              </w:rPr>
            </w:pPr>
            <w:r>
              <w:rPr>
                <w:rFonts w:hAnsiTheme="minorEastAsia" w:hint="eastAsia"/>
                <w:sz w:val="24"/>
              </w:rPr>
              <w:t>□非等效采用</w:t>
            </w:r>
          </w:p>
        </w:tc>
      </w:tr>
      <w:tr w:rsidR="00261432" w14:paraId="23DF30D5" w14:textId="77777777">
        <w:trPr>
          <w:trHeight w:val="540"/>
          <w:jc w:val="center"/>
        </w:trPr>
        <w:tc>
          <w:tcPr>
            <w:tcW w:w="2025" w:type="dxa"/>
            <w:vAlign w:val="center"/>
          </w:tcPr>
          <w:p w14:paraId="71B99C89" w14:textId="77777777" w:rsidR="00261432" w:rsidRDefault="00000000">
            <w:pPr>
              <w:jc w:val="center"/>
              <w:rPr>
                <w:sz w:val="24"/>
              </w:rPr>
            </w:pPr>
            <w:r>
              <w:rPr>
                <w:rFonts w:hint="eastAsia"/>
                <w:sz w:val="24"/>
              </w:rPr>
              <w:t>编制周期</w:t>
            </w:r>
          </w:p>
        </w:tc>
        <w:tc>
          <w:tcPr>
            <w:tcW w:w="7210" w:type="dxa"/>
            <w:gridSpan w:val="6"/>
            <w:vAlign w:val="center"/>
          </w:tcPr>
          <w:p w14:paraId="78B71CF7" w14:textId="77777777" w:rsidR="00261432" w:rsidRDefault="00000000">
            <w:pPr>
              <w:rPr>
                <w:rFonts w:hAnsiTheme="minorEastAsia" w:hint="eastAsia"/>
                <w:sz w:val="24"/>
                <w:u w:val="single"/>
              </w:rPr>
            </w:pPr>
            <w:r>
              <w:rPr>
                <w:rFonts w:hAnsiTheme="minorEastAsia"/>
                <w:sz w:val="24"/>
                <w:lang w:val="en-US"/>
              </w:rPr>
              <w:t>☑</w:t>
            </w:r>
            <w:r>
              <w:rPr>
                <w:rFonts w:hAnsiTheme="minorEastAsia" w:hint="eastAsia"/>
                <w:sz w:val="24"/>
              </w:rPr>
              <w:t>12个月   □18个月   □其他</w:t>
            </w:r>
          </w:p>
        </w:tc>
      </w:tr>
      <w:tr w:rsidR="00261432" w14:paraId="32D30F98" w14:textId="77777777">
        <w:trPr>
          <w:trHeight w:val="548"/>
          <w:jc w:val="center"/>
        </w:trPr>
        <w:tc>
          <w:tcPr>
            <w:tcW w:w="2025" w:type="dxa"/>
            <w:vAlign w:val="center"/>
          </w:tcPr>
          <w:p w14:paraId="44613405" w14:textId="77777777" w:rsidR="00261432" w:rsidRDefault="00000000">
            <w:pPr>
              <w:jc w:val="center"/>
              <w:rPr>
                <w:sz w:val="24"/>
              </w:rPr>
            </w:pPr>
            <w:r>
              <w:rPr>
                <w:rFonts w:hint="eastAsia"/>
                <w:sz w:val="24"/>
              </w:rPr>
              <w:t>起草单位</w:t>
            </w:r>
          </w:p>
        </w:tc>
        <w:tc>
          <w:tcPr>
            <w:tcW w:w="7210" w:type="dxa"/>
            <w:gridSpan w:val="6"/>
            <w:vAlign w:val="center"/>
          </w:tcPr>
          <w:p w14:paraId="60157915" w14:textId="77777777" w:rsidR="00261432" w:rsidRDefault="00000000">
            <w:pPr>
              <w:jc w:val="center"/>
            </w:pPr>
            <w:r>
              <w:rPr>
                <w:rFonts w:hint="eastAsia"/>
              </w:rPr>
              <w:t>上海船舶运输科学研究所有限公司、</w:t>
            </w:r>
            <w:r>
              <w:rPr>
                <w:lang w:val="en-US"/>
              </w:rPr>
              <w:t>中远海运发展股份有限公司、</w:t>
            </w:r>
            <w:r>
              <w:rPr>
                <w:rFonts w:hint="eastAsia"/>
              </w:rPr>
              <w:t>中国船级社</w:t>
            </w:r>
            <w:r>
              <w:t>武汉分社</w:t>
            </w:r>
            <w:r>
              <w:rPr>
                <w:rFonts w:hint="eastAsia"/>
              </w:rPr>
              <w:t>、</w:t>
            </w:r>
            <w:r>
              <w:rPr>
                <w:lang w:val="en-US"/>
              </w:rPr>
              <w:t>扬州中远</w:t>
            </w:r>
            <w:proofErr w:type="gramStart"/>
            <w:r>
              <w:rPr>
                <w:lang w:val="en-US"/>
              </w:rPr>
              <w:t>海运重</w:t>
            </w:r>
            <w:proofErr w:type="gramEnd"/>
            <w:r>
              <w:rPr>
                <w:lang w:val="en-US"/>
              </w:rPr>
              <w:t>工有限公司、</w:t>
            </w:r>
            <w:r>
              <w:rPr>
                <w:rFonts w:hint="eastAsia"/>
              </w:rPr>
              <w:t>中远</w:t>
            </w:r>
            <w:proofErr w:type="gramStart"/>
            <w:r>
              <w:rPr>
                <w:rFonts w:hint="eastAsia"/>
              </w:rPr>
              <w:t>海运重</w:t>
            </w:r>
            <w:proofErr w:type="gramEnd"/>
            <w:r>
              <w:rPr>
                <w:rFonts w:hint="eastAsia"/>
              </w:rPr>
              <w:t>工有限公司、中国船舶集团有限公司第七一二研究所</w:t>
            </w:r>
          </w:p>
        </w:tc>
      </w:tr>
      <w:tr w:rsidR="00261432" w14:paraId="585B044E" w14:textId="77777777">
        <w:trPr>
          <w:trHeight w:val="548"/>
          <w:jc w:val="center"/>
        </w:trPr>
        <w:tc>
          <w:tcPr>
            <w:tcW w:w="2025" w:type="dxa"/>
            <w:vAlign w:val="center"/>
          </w:tcPr>
          <w:p w14:paraId="660A0273" w14:textId="77777777" w:rsidR="00261432" w:rsidRDefault="00000000">
            <w:pPr>
              <w:jc w:val="center"/>
              <w:rPr>
                <w:sz w:val="24"/>
              </w:rPr>
            </w:pPr>
            <w:r>
              <w:rPr>
                <w:rFonts w:hint="eastAsia"/>
                <w:sz w:val="24"/>
              </w:rPr>
              <w:t>联系人</w:t>
            </w:r>
          </w:p>
        </w:tc>
        <w:tc>
          <w:tcPr>
            <w:tcW w:w="2126" w:type="dxa"/>
            <w:vAlign w:val="center"/>
          </w:tcPr>
          <w:p w14:paraId="290CD384" w14:textId="77777777" w:rsidR="00261432" w:rsidRDefault="00000000">
            <w:pPr>
              <w:jc w:val="center"/>
              <w:rPr>
                <w:sz w:val="24"/>
                <w:lang w:val="en-US"/>
              </w:rPr>
            </w:pPr>
            <w:r>
              <w:rPr>
                <w:sz w:val="24"/>
                <w:lang w:val="en-US"/>
              </w:rPr>
              <w:t>穆亚娣</w:t>
            </w:r>
          </w:p>
        </w:tc>
        <w:tc>
          <w:tcPr>
            <w:tcW w:w="850" w:type="dxa"/>
            <w:gridSpan w:val="2"/>
            <w:vAlign w:val="center"/>
          </w:tcPr>
          <w:p w14:paraId="6C1B2B58" w14:textId="77777777" w:rsidR="00261432" w:rsidRDefault="00000000">
            <w:pPr>
              <w:jc w:val="center"/>
              <w:rPr>
                <w:sz w:val="24"/>
              </w:rPr>
            </w:pPr>
            <w:r>
              <w:rPr>
                <w:rFonts w:hint="eastAsia"/>
                <w:sz w:val="24"/>
              </w:rPr>
              <w:t>地址</w:t>
            </w:r>
          </w:p>
        </w:tc>
        <w:tc>
          <w:tcPr>
            <w:tcW w:w="4234" w:type="dxa"/>
            <w:gridSpan w:val="3"/>
            <w:vAlign w:val="center"/>
          </w:tcPr>
          <w:p w14:paraId="695AB83E" w14:textId="77777777" w:rsidR="00261432" w:rsidRDefault="00000000">
            <w:pPr>
              <w:jc w:val="center"/>
              <w:rPr>
                <w:sz w:val="24"/>
                <w:lang w:val="en-US"/>
              </w:rPr>
            </w:pPr>
            <w:r>
              <w:rPr>
                <w:sz w:val="24"/>
                <w:lang w:val="en-US"/>
              </w:rPr>
              <w:t>上海市浦东</w:t>
            </w:r>
            <w:proofErr w:type="gramStart"/>
            <w:r>
              <w:rPr>
                <w:sz w:val="24"/>
                <w:lang w:val="en-US"/>
              </w:rPr>
              <w:t>新区民</w:t>
            </w:r>
            <w:proofErr w:type="gramEnd"/>
            <w:r>
              <w:rPr>
                <w:sz w:val="24"/>
                <w:lang w:val="en-US"/>
              </w:rPr>
              <w:t>生路628号航运科研大厦4楼科创部</w:t>
            </w:r>
          </w:p>
        </w:tc>
      </w:tr>
      <w:tr w:rsidR="00261432" w14:paraId="19799730" w14:textId="77777777">
        <w:trPr>
          <w:trHeight w:val="548"/>
          <w:jc w:val="center"/>
        </w:trPr>
        <w:tc>
          <w:tcPr>
            <w:tcW w:w="2025" w:type="dxa"/>
            <w:vAlign w:val="center"/>
          </w:tcPr>
          <w:p w14:paraId="36C0FFC0" w14:textId="77777777" w:rsidR="00261432" w:rsidRDefault="00000000">
            <w:pPr>
              <w:jc w:val="center"/>
              <w:rPr>
                <w:sz w:val="24"/>
              </w:rPr>
            </w:pPr>
            <w:r>
              <w:rPr>
                <w:rFonts w:hint="eastAsia"/>
                <w:sz w:val="24"/>
              </w:rPr>
              <w:t>电话</w:t>
            </w:r>
          </w:p>
        </w:tc>
        <w:tc>
          <w:tcPr>
            <w:tcW w:w="2126" w:type="dxa"/>
            <w:vAlign w:val="center"/>
          </w:tcPr>
          <w:p w14:paraId="2520334E" w14:textId="77777777" w:rsidR="00261432" w:rsidRDefault="00000000">
            <w:pPr>
              <w:jc w:val="center"/>
              <w:rPr>
                <w:sz w:val="24"/>
                <w:lang w:val="en-US"/>
              </w:rPr>
            </w:pPr>
            <w:r>
              <w:rPr>
                <w:sz w:val="24"/>
                <w:lang w:val="en-US"/>
              </w:rPr>
              <w:t>15221589134</w:t>
            </w:r>
          </w:p>
        </w:tc>
        <w:tc>
          <w:tcPr>
            <w:tcW w:w="850" w:type="dxa"/>
            <w:gridSpan w:val="2"/>
            <w:vAlign w:val="center"/>
          </w:tcPr>
          <w:p w14:paraId="5F5D06E8" w14:textId="77777777" w:rsidR="00261432" w:rsidRDefault="00000000">
            <w:pPr>
              <w:jc w:val="center"/>
              <w:rPr>
                <w:sz w:val="24"/>
              </w:rPr>
            </w:pPr>
            <w:r>
              <w:rPr>
                <w:rFonts w:hint="eastAsia"/>
                <w:sz w:val="24"/>
              </w:rPr>
              <w:t>邮箱</w:t>
            </w:r>
          </w:p>
        </w:tc>
        <w:tc>
          <w:tcPr>
            <w:tcW w:w="4234" w:type="dxa"/>
            <w:gridSpan w:val="3"/>
            <w:vAlign w:val="center"/>
          </w:tcPr>
          <w:p w14:paraId="0EDEEEBE" w14:textId="77777777" w:rsidR="00261432" w:rsidRDefault="00000000">
            <w:pPr>
              <w:jc w:val="center"/>
              <w:rPr>
                <w:sz w:val="24"/>
                <w:lang w:val="en-US"/>
              </w:rPr>
            </w:pPr>
            <w:r>
              <w:rPr>
                <w:sz w:val="24"/>
                <w:lang w:val="en-US"/>
              </w:rPr>
              <w:t>mu.yadi@coscoshipping.com</w:t>
            </w:r>
          </w:p>
        </w:tc>
      </w:tr>
      <w:tr w:rsidR="00261432" w14:paraId="04FBEEA3" w14:textId="77777777">
        <w:trPr>
          <w:trHeight w:val="1102"/>
          <w:jc w:val="center"/>
        </w:trPr>
        <w:tc>
          <w:tcPr>
            <w:tcW w:w="2025" w:type="dxa"/>
            <w:vAlign w:val="center"/>
          </w:tcPr>
          <w:p w14:paraId="68A9CDB3" w14:textId="77777777" w:rsidR="00261432" w:rsidRDefault="00000000">
            <w:pPr>
              <w:jc w:val="center"/>
              <w:rPr>
                <w:sz w:val="24"/>
              </w:rPr>
            </w:pPr>
            <w:r>
              <w:rPr>
                <w:rFonts w:hint="eastAsia"/>
                <w:sz w:val="24"/>
              </w:rPr>
              <w:t>项目任务的</w:t>
            </w:r>
          </w:p>
          <w:p w14:paraId="55452DE2" w14:textId="77777777" w:rsidR="00261432" w:rsidRDefault="00000000">
            <w:pPr>
              <w:jc w:val="center"/>
              <w:rPr>
                <w:sz w:val="24"/>
              </w:rPr>
            </w:pPr>
            <w:r>
              <w:rPr>
                <w:rFonts w:hint="eastAsia"/>
                <w:sz w:val="24"/>
              </w:rPr>
              <w:t>意义和必要性</w:t>
            </w:r>
          </w:p>
        </w:tc>
        <w:tc>
          <w:tcPr>
            <w:tcW w:w="7210" w:type="dxa"/>
            <w:gridSpan w:val="6"/>
          </w:tcPr>
          <w:p w14:paraId="59FE197B" w14:textId="77777777" w:rsidR="00261432" w:rsidRDefault="00000000">
            <w:pPr>
              <w:ind w:firstLineChars="150" w:firstLine="360"/>
              <w:rPr>
                <w:sz w:val="24"/>
                <w:szCs w:val="24"/>
                <w:lang w:val="en-US"/>
              </w:rPr>
            </w:pPr>
            <w:r>
              <w:rPr>
                <w:rFonts w:hint="eastAsia"/>
                <w:sz w:val="24"/>
                <w:szCs w:val="24"/>
                <w:lang w:val="en-US"/>
              </w:rPr>
              <w:t>根据国际海事组织（IMO）预估，在不采取</w:t>
            </w:r>
            <w:r>
              <w:rPr>
                <w:sz w:val="24"/>
                <w:szCs w:val="24"/>
                <w:lang w:val="en-US"/>
              </w:rPr>
              <w:t>减排</w:t>
            </w:r>
            <w:r>
              <w:rPr>
                <w:rFonts w:hint="eastAsia"/>
                <w:sz w:val="24"/>
                <w:szCs w:val="24"/>
                <w:lang w:val="en-US"/>
              </w:rPr>
              <w:t>措施的情况下，到2050年，全球航运业温室气体排放量比值将由2018的3%升至5%左右。为促进航运业转型升级，我国出台了一系列船舶节能减排措施</w:t>
            </w:r>
            <w:r>
              <w:rPr>
                <w:sz w:val="24"/>
                <w:szCs w:val="24"/>
                <w:lang w:val="en-US"/>
              </w:rPr>
              <w:t>。</w:t>
            </w:r>
            <w:r>
              <w:rPr>
                <w:rFonts w:hint="eastAsia"/>
                <w:sz w:val="24"/>
                <w:szCs w:val="24"/>
                <w:lang w:val="en-US"/>
              </w:rPr>
              <w:t>2019年《产业结构调整指导目录（2019年版）》将纯电动船列为国家鼓励类产业。中国船级社（CCS）于2019年和2020年相继发布了《纯电池动力船舶检验指南》、《内河绿色船舶规范》，大力支撑电动船舶的设计及安全运营。纯动力电池船舶是促进航运转型的“绿色推手”，作为一种区域性减排、</w:t>
            </w:r>
            <w:proofErr w:type="gramStart"/>
            <w:r>
              <w:rPr>
                <w:rFonts w:hint="eastAsia"/>
                <w:sz w:val="24"/>
                <w:szCs w:val="24"/>
                <w:lang w:val="en-US"/>
              </w:rPr>
              <w:t>零碳能源</w:t>
            </w:r>
            <w:proofErr w:type="gramEnd"/>
            <w:r>
              <w:rPr>
                <w:rFonts w:hint="eastAsia"/>
                <w:sz w:val="24"/>
                <w:szCs w:val="24"/>
                <w:lang w:val="en-US"/>
              </w:rPr>
              <w:t>，受到广泛的关注。研究和推广以纯电池动力船舶为代表的“绿色船舶”，可摆脱传统内河船舶技术水平低下、空气污染严重的困境，达到节能减排和绿色环保的目的，实现内河航运绿色、协调和创新发展。</w:t>
            </w:r>
          </w:p>
          <w:p w14:paraId="0424707C" w14:textId="77777777" w:rsidR="00261432" w:rsidRDefault="00000000">
            <w:pPr>
              <w:ind w:firstLineChars="150" w:firstLine="360"/>
              <w:rPr>
                <w:sz w:val="24"/>
              </w:rPr>
            </w:pPr>
            <w:r>
              <w:rPr>
                <w:rFonts w:hint="eastAsia"/>
                <w:sz w:val="24"/>
                <w:szCs w:val="24"/>
                <w:lang w:val="en-US"/>
              </w:rPr>
              <w:t>国内外电动船舶近几年数量快速增多，</w:t>
            </w:r>
            <w:r>
              <w:rPr>
                <w:sz w:val="24"/>
                <w:szCs w:val="24"/>
                <w:lang w:val="en-US"/>
              </w:rPr>
              <w:t>目前我国建造的电动船舶已有700余艘，</w:t>
            </w:r>
            <w:r>
              <w:rPr>
                <w:rFonts w:hint="eastAsia"/>
                <w:sz w:val="24"/>
                <w:szCs w:val="24"/>
                <w:lang w:val="en-US"/>
              </w:rPr>
              <w:t>载重吨和续航力也在不断增大，相应需要配备更</w:t>
            </w:r>
            <w:r>
              <w:rPr>
                <w:sz w:val="24"/>
                <w:szCs w:val="24"/>
                <w:lang w:val="en-US"/>
              </w:rPr>
              <w:t>多和更</w:t>
            </w:r>
            <w:r>
              <w:rPr>
                <w:rFonts w:hint="eastAsia"/>
                <w:sz w:val="24"/>
                <w:szCs w:val="24"/>
                <w:lang w:val="en-US"/>
              </w:rPr>
              <w:t>大容量的电池</w:t>
            </w:r>
            <w:r>
              <w:rPr>
                <w:sz w:val="24"/>
                <w:szCs w:val="24"/>
                <w:lang w:val="en-US"/>
              </w:rPr>
              <w:t>，采用大容量</w:t>
            </w:r>
            <w:r>
              <w:rPr>
                <w:rFonts w:hint="eastAsia"/>
                <w:sz w:val="24"/>
                <w:szCs w:val="24"/>
                <w:lang w:val="en-US"/>
              </w:rPr>
              <w:t>移动式电池集装箱电源</w:t>
            </w:r>
            <w:r>
              <w:rPr>
                <w:sz w:val="24"/>
                <w:szCs w:val="24"/>
                <w:lang w:val="en-US"/>
              </w:rPr>
              <w:t>作为船舶动力电源已经成为一种新趋势。</w:t>
            </w:r>
            <w:r>
              <w:rPr>
                <w:rFonts w:hint="eastAsia"/>
                <w:sz w:val="24"/>
                <w:szCs w:val="24"/>
                <w:lang w:val="en-US"/>
              </w:rPr>
              <w:t>船上配备大容量的电池，对船舶安全和作业管理带来挑战</w:t>
            </w:r>
            <w:r>
              <w:rPr>
                <w:sz w:val="24"/>
                <w:szCs w:val="24"/>
                <w:lang w:val="en-US"/>
              </w:rPr>
              <w:t>，传统的能量管理系统功能已经无法满足电动船舶航行过程中的动态更换集装箱电源、换电码头吊装集装箱电源的策略以及对大功率直流配电系统的控制等需求。需要</w:t>
            </w:r>
            <w:r>
              <w:rPr>
                <w:rFonts w:hint="eastAsia"/>
                <w:sz w:val="24"/>
                <w:szCs w:val="24"/>
                <w:lang w:val="en-US"/>
              </w:rPr>
              <w:t>根据超大容量纯电池动力船直流配电板</w:t>
            </w:r>
            <w:r>
              <w:rPr>
                <w:sz w:val="24"/>
                <w:szCs w:val="24"/>
                <w:lang w:val="en-US"/>
              </w:rPr>
              <w:t>和集装箱式电源的</w:t>
            </w:r>
            <w:r>
              <w:rPr>
                <w:rFonts w:hint="eastAsia"/>
                <w:sz w:val="24"/>
                <w:szCs w:val="24"/>
                <w:lang w:val="en-US"/>
              </w:rPr>
              <w:t>拓扑结构，</w:t>
            </w:r>
            <w:r>
              <w:rPr>
                <w:sz w:val="24"/>
                <w:szCs w:val="24"/>
                <w:lang w:val="en-US"/>
              </w:rPr>
              <w:t>规范</w:t>
            </w:r>
            <w:r>
              <w:rPr>
                <w:rFonts w:hint="eastAsia"/>
                <w:sz w:val="24"/>
                <w:szCs w:val="24"/>
                <w:lang w:val="en-US"/>
              </w:rPr>
              <w:t>能量管理系统架构、功能性能、软/硬件接口等</w:t>
            </w:r>
            <w:r>
              <w:rPr>
                <w:sz w:val="24"/>
                <w:szCs w:val="24"/>
                <w:lang w:val="en-US"/>
              </w:rPr>
              <w:t>设计工作，以实现超</w:t>
            </w:r>
            <w:r>
              <w:rPr>
                <w:rFonts w:hint="eastAsia"/>
                <w:sz w:val="24"/>
                <w:szCs w:val="24"/>
                <w:lang w:val="en-US"/>
              </w:rPr>
              <w:t>大容量电池为主要储能介质的全船电力系统可靠、高效运转</w:t>
            </w:r>
            <w:r>
              <w:rPr>
                <w:sz w:val="24"/>
                <w:szCs w:val="24"/>
                <w:lang w:val="en-US"/>
              </w:rPr>
              <w:t>，</w:t>
            </w:r>
            <w:r>
              <w:rPr>
                <w:rFonts w:hint="eastAsia"/>
                <w:sz w:val="24"/>
                <w:szCs w:val="24"/>
                <w:lang w:val="en-US"/>
              </w:rPr>
              <w:t>以达到最大的</w:t>
            </w:r>
            <w:r>
              <w:rPr>
                <w:sz w:val="24"/>
                <w:szCs w:val="24"/>
                <w:lang w:val="en-US"/>
              </w:rPr>
              <w:t>安全新、</w:t>
            </w:r>
            <w:r>
              <w:rPr>
                <w:rFonts w:hint="eastAsia"/>
                <w:sz w:val="24"/>
                <w:szCs w:val="24"/>
                <w:lang w:val="en-US"/>
              </w:rPr>
              <w:t>经济性和</w:t>
            </w:r>
            <w:proofErr w:type="gramStart"/>
            <w:r>
              <w:rPr>
                <w:rFonts w:hint="eastAsia"/>
                <w:sz w:val="24"/>
                <w:szCs w:val="24"/>
                <w:lang w:val="en-US"/>
              </w:rPr>
              <w:t>可</w:t>
            </w:r>
            <w:proofErr w:type="gramEnd"/>
            <w:r>
              <w:rPr>
                <w:rFonts w:hint="eastAsia"/>
                <w:sz w:val="24"/>
                <w:szCs w:val="24"/>
                <w:lang w:val="en-US"/>
              </w:rPr>
              <w:t>持续性要求。</w:t>
            </w:r>
          </w:p>
        </w:tc>
      </w:tr>
      <w:tr w:rsidR="00261432" w14:paraId="36E59CA1" w14:textId="77777777">
        <w:trPr>
          <w:trHeight w:val="581"/>
          <w:jc w:val="center"/>
        </w:trPr>
        <w:tc>
          <w:tcPr>
            <w:tcW w:w="2025" w:type="dxa"/>
            <w:vAlign w:val="center"/>
          </w:tcPr>
          <w:p w14:paraId="4FFE8F6C" w14:textId="77777777" w:rsidR="00261432" w:rsidRDefault="00000000">
            <w:pPr>
              <w:jc w:val="center"/>
              <w:rPr>
                <w:sz w:val="24"/>
              </w:rPr>
            </w:pPr>
            <w:r>
              <w:rPr>
                <w:rFonts w:hint="eastAsia"/>
                <w:sz w:val="24"/>
              </w:rPr>
              <w:lastRenderedPageBreak/>
              <w:t>标准适用范围</w:t>
            </w:r>
          </w:p>
          <w:p w14:paraId="73D10284" w14:textId="77777777" w:rsidR="00261432" w:rsidRDefault="00000000">
            <w:pPr>
              <w:jc w:val="center"/>
              <w:rPr>
                <w:sz w:val="24"/>
              </w:rPr>
            </w:pPr>
            <w:r>
              <w:rPr>
                <w:rFonts w:hint="eastAsia"/>
                <w:sz w:val="24"/>
              </w:rPr>
              <w:t>和主要技术内容</w:t>
            </w:r>
          </w:p>
        </w:tc>
        <w:tc>
          <w:tcPr>
            <w:tcW w:w="7210" w:type="dxa"/>
            <w:gridSpan w:val="6"/>
          </w:tcPr>
          <w:p w14:paraId="0BD91164" w14:textId="77777777" w:rsidR="00261432" w:rsidRDefault="00000000">
            <w:pPr>
              <w:ind w:firstLineChars="150" w:firstLine="360"/>
              <w:rPr>
                <w:sz w:val="24"/>
                <w:szCs w:val="24"/>
                <w:lang w:val="en-US"/>
              </w:rPr>
            </w:pPr>
            <w:r>
              <w:rPr>
                <w:rFonts w:hint="eastAsia"/>
                <w:sz w:val="24"/>
                <w:szCs w:val="24"/>
                <w:lang w:val="en-US"/>
              </w:rPr>
              <w:t>本文件规定了电动船舶能量管理系统（以下简称能量管理系统）的</w:t>
            </w:r>
            <w:r>
              <w:rPr>
                <w:sz w:val="24"/>
                <w:szCs w:val="24"/>
                <w:lang w:val="en-US"/>
              </w:rPr>
              <w:t>系统架构</w:t>
            </w:r>
            <w:r>
              <w:rPr>
                <w:rFonts w:hint="eastAsia"/>
                <w:sz w:val="24"/>
                <w:szCs w:val="24"/>
                <w:lang w:val="en-US"/>
              </w:rPr>
              <w:t>、功能要求、</w:t>
            </w:r>
            <w:r>
              <w:rPr>
                <w:sz w:val="24"/>
                <w:szCs w:val="24"/>
                <w:lang w:val="en-US"/>
              </w:rPr>
              <w:t>性能</w:t>
            </w:r>
            <w:r>
              <w:rPr>
                <w:rFonts w:hint="eastAsia"/>
                <w:sz w:val="24"/>
                <w:szCs w:val="24"/>
                <w:lang w:val="en-US"/>
              </w:rPr>
              <w:t>要求</w:t>
            </w:r>
            <w:r>
              <w:rPr>
                <w:sz w:val="24"/>
                <w:szCs w:val="24"/>
                <w:lang w:val="en-US"/>
              </w:rPr>
              <w:t>、试验方法</w:t>
            </w:r>
            <w:r>
              <w:rPr>
                <w:rFonts w:hint="eastAsia"/>
                <w:sz w:val="24"/>
                <w:szCs w:val="24"/>
                <w:lang w:val="en-US"/>
              </w:rPr>
              <w:t>以及</w:t>
            </w:r>
            <w:r>
              <w:rPr>
                <w:sz w:val="24"/>
                <w:szCs w:val="24"/>
                <w:lang w:val="en-US"/>
              </w:rPr>
              <w:t>检验规则</w:t>
            </w:r>
            <w:r>
              <w:rPr>
                <w:rFonts w:hint="eastAsia"/>
                <w:sz w:val="24"/>
                <w:szCs w:val="24"/>
                <w:lang w:val="en-US"/>
              </w:rPr>
              <w:t>等。</w:t>
            </w:r>
          </w:p>
          <w:p w14:paraId="217CF169" w14:textId="77777777" w:rsidR="00261432" w:rsidRDefault="00000000">
            <w:pPr>
              <w:ind w:firstLineChars="150" w:firstLine="360"/>
              <w:rPr>
                <w:sz w:val="24"/>
                <w:szCs w:val="24"/>
              </w:rPr>
            </w:pPr>
            <w:r>
              <w:rPr>
                <w:rFonts w:hint="eastAsia"/>
                <w:sz w:val="24"/>
                <w:szCs w:val="24"/>
              </w:rPr>
              <w:t>本文件适用于指导大容量纯电池船能量管理系统的设计生产和制造。主要技术内容包括：</w:t>
            </w:r>
          </w:p>
          <w:p w14:paraId="514618F1" w14:textId="77777777" w:rsidR="00261432" w:rsidRDefault="00000000">
            <w:pPr>
              <w:numPr>
                <w:ilvl w:val="0"/>
                <w:numId w:val="4"/>
              </w:numPr>
              <w:rPr>
                <w:sz w:val="24"/>
                <w:szCs w:val="24"/>
                <w:lang w:val="en-US"/>
              </w:rPr>
            </w:pPr>
            <w:r>
              <w:rPr>
                <w:sz w:val="24"/>
                <w:szCs w:val="24"/>
                <w:lang w:val="en-US"/>
              </w:rPr>
              <w:t>系统架构</w:t>
            </w:r>
          </w:p>
          <w:p w14:paraId="0937C08D" w14:textId="77777777" w:rsidR="00261432" w:rsidRDefault="00000000">
            <w:pPr>
              <w:ind w:firstLineChars="150" w:firstLine="360"/>
              <w:rPr>
                <w:sz w:val="24"/>
                <w:szCs w:val="24"/>
              </w:rPr>
            </w:pPr>
            <w:r>
              <w:rPr>
                <w:rFonts w:hint="eastAsia"/>
                <w:sz w:val="24"/>
                <w:szCs w:val="24"/>
              </w:rPr>
              <w:t>能量管理系统架构应满足安全设计、冗余设计和网络安全要求</w:t>
            </w:r>
            <w:r>
              <w:rPr>
                <w:sz w:val="24"/>
                <w:szCs w:val="24"/>
                <w:lang w:val="en-US"/>
              </w:rPr>
              <w:t>。</w:t>
            </w:r>
            <w:r>
              <w:rPr>
                <w:rFonts w:hint="eastAsia"/>
                <w:sz w:val="24"/>
                <w:szCs w:val="24"/>
              </w:rPr>
              <w:t>能量管理系统架构</w:t>
            </w:r>
            <w:proofErr w:type="gramStart"/>
            <w:r>
              <w:rPr>
                <w:rFonts w:hint="eastAsia"/>
                <w:sz w:val="24"/>
                <w:szCs w:val="24"/>
              </w:rPr>
              <w:t>宜包括</w:t>
            </w:r>
            <w:proofErr w:type="gramEnd"/>
            <w:r>
              <w:rPr>
                <w:sz w:val="24"/>
                <w:szCs w:val="24"/>
                <w:lang w:val="en-US"/>
              </w:rPr>
              <w:t>应用</w:t>
            </w:r>
            <w:r>
              <w:rPr>
                <w:rFonts w:hint="eastAsia"/>
                <w:sz w:val="24"/>
                <w:szCs w:val="24"/>
              </w:rPr>
              <w:t>层</w:t>
            </w:r>
            <w:r>
              <w:rPr>
                <w:sz w:val="24"/>
                <w:szCs w:val="24"/>
                <w:lang w:val="en-US"/>
              </w:rPr>
              <w:t>、控制层、数据输出层</w:t>
            </w:r>
            <w:r>
              <w:rPr>
                <w:rFonts w:hint="eastAsia"/>
                <w:sz w:val="24"/>
                <w:szCs w:val="24"/>
              </w:rPr>
              <w:t>。</w:t>
            </w:r>
          </w:p>
          <w:p w14:paraId="3AE2A363" w14:textId="77777777" w:rsidR="00261432" w:rsidRDefault="00000000">
            <w:pPr>
              <w:numPr>
                <w:ilvl w:val="0"/>
                <w:numId w:val="4"/>
              </w:numPr>
              <w:rPr>
                <w:sz w:val="24"/>
                <w:szCs w:val="24"/>
                <w:lang w:val="en-US"/>
              </w:rPr>
            </w:pPr>
            <w:r>
              <w:rPr>
                <w:rFonts w:hint="eastAsia"/>
                <w:sz w:val="24"/>
                <w:szCs w:val="24"/>
                <w:lang w:val="en-US"/>
              </w:rPr>
              <w:t>数据/指令交互功能</w:t>
            </w:r>
          </w:p>
          <w:p w14:paraId="23A2CF5A" w14:textId="77777777" w:rsidR="00261432" w:rsidRDefault="00000000">
            <w:pPr>
              <w:ind w:firstLineChars="150" w:firstLine="360"/>
              <w:rPr>
                <w:sz w:val="24"/>
                <w:szCs w:val="24"/>
              </w:rPr>
            </w:pPr>
            <w:r>
              <w:rPr>
                <w:rFonts w:hint="eastAsia"/>
                <w:sz w:val="24"/>
                <w:szCs w:val="24"/>
              </w:rPr>
              <w:t>应能够与BMS</w:t>
            </w:r>
            <w:r>
              <w:rPr>
                <w:sz w:val="24"/>
                <w:szCs w:val="24"/>
                <w:lang w:val="en-US"/>
              </w:rPr>
              <w:t>、</w:t>
            </w:r>
            <w:r>
              <w:rPr>
                <w:rFonts w:hint="eastAsia"/>
                <w:sz w:val="24"/>
                <w:szCs w:val="24"/>
              </w:rPr>
              <w:t>直流变流器、交流整流器、逆变电源</w:t>
            </w:r>
            <w:r>
              <w:rPr>
                <w:sz w:val="24"/>
                <w:szCs w:val="24"/>
                <w:lang w:val="en-US"/>
              </w:rPr>
              <w:t>等直流电力设备</w:t>
            </w:r>
            <w:r>
              <w:rPr>
                <w:rFonts w:hint="eastAsia"/>
                <w:sz w:val="24"/>
                <w:szCs w:val="24"/>
              </w:rPr>
              <w:t>进行数据交互</w:t>
            </w:r>
            <w:r>
              <w:rPr>
                <w:sz w:val="24"/>
                <w:szCs w:val="24"/>
                <w:lang w:val="en-US"/>
              </w:rPr>
              <w:t>。</w:t>
            </w:r>
          </w:p>
          <w:p w14:paraId="37F986FD" w14:textId="77777777" w:rsidR="00261432" w:rsidRDefault="00000000">
            <w:pPr>
              <w:numPr>
                <w:ilvl w:val="0"/>
                <w:numId w:val="4"/>
              </w:numPr>
              <w:rPr>
                <w:sz w:val="24"/>
                <w:szCs w:val="24"/>
                <w:lang w:val="en-US"/>
              </w:rPr>
            </w:pPr>
            <w:r>
              <w:rPr>
                <w:rFonts w:hint="eastAsia"/>
                <w:sz w:val="24"/>
                <w:szCs w:val="24"/>
                <w:lang w:val="en-US"/>
              </w:rPr>
              <w:t>数据监测</w:t>
            </w:r>
            <w:r>
              <w:rPr>
                <w:sz w:val="24"/>
                <w:szCs w:val="24"/>
                <w:lang w:val="en-US"/>
              </w:rPr>
              <w:t>报警</w:t>
            </w:r>
            <w:r>
              <w:rPr>
                <w:rFonts w:hint="eastAsia"/>
                <w:sz w:val="24"/>
                <w:szCs w:val="24"/>
                <w:lang w:val="en-US"/>
              </w:rPr>
              <w:t>功能</w:t>
            </w:r>
          </w:p>
          <w:p w14:paraId="7ABC62D6" w14:textId="77777777" w:rsidR="00261432" w:rsidRDefault="00000000">
            <w:pPr>
              <w:ind w:firstLineChars="150" w:firstLine="360"/>
              <w:rPr>
                <w:color w:val="000000" w:themeColor="text1"/>
              </w:rPr>
            </w:pPr>
            <w:r>
              <w:rPr>
                <w:sz w:val="24"/>
                <w:szCs w:val="24"/>
                <w:lang w:val="en-US"/>
              </w:rPr>
              <w:t>对</w:t>
            </w:r>
            <w:r>
              <w:rPr>
                <w:rFonts w:hint="eastAsia"/>
                <w:sz w:val="24"/>
                <w:szCs w:val="24"/>
                <w:lang w:val="en-US"/>
              </w:rPr>
              <w:t>箱式电源</w:t>
            </w:r>
            <w:r>
              <w:rPr>
                <w:sz w:val="24"/>
                <w:szCs w:val="24"/>
                <w:lang w:val="en-US"/>
              </w:rPr>
              <w:t>、</w:t>
            </w:r>
            <w:r>
              <w:rPr>
                <w:rFonts w:hint="eastAsia"/>
                <w:sz w:val="24"/>
                <w:szCs w:val="24"/>
                <w:lang w:val="en-US"/>
              </w:rPr>
              <w:t>网络开关柜</w:t>
            </w:r>
            <w:r>
              <w:rPr>
                <w:sz w:val="24"/>
                <w:szCs w:val="24"/>
                <w:lang w:val="en-US"/>
              </w:rPr>
              <w:t>、</w:t>
            </w:r>
            <w:r>
              <w:rPr>
                <w:rFonts w:hint="eastAsia"/>
                <w:sz w:val="24"/>
                <w:szCs w:val="24"/>
                <w:lang w:val="en-US"/>
              </w:rPr>
              <w:t>日用逆变器</w:t>
            </w:r>
            <w:r>
              <w:rPr>
                <w:sz w:val="24"/>
                <w:szCs w:val="24"/>
                <w:lang w:val="en-US"/>
              </w:rPr>
              <w:t>、</w:t>
            </w:r>
            <w:r>
              <w:rPr>
                <w:rFonts w:hint="eastAsia"/>
                <w:sz w:val="24"/>
                <w:szCs w:val="24"/>
                <w:lang w:val="en-US"/>
              </w:rPr>
              <w:t>整流柜</w:t>
            </w:r>
            <w:r>
              <w:rPr>
                <w:sz w:val="24"/>
                <w:szCs w:val="24"/>
                <w:lang w:val="en-US"/>
              </w:rPr>
              <w:t>、</w:t>
            </w:r>
            <w:proofErr w:type="gramStart"/>
            <w:r>
              <w:rPr>
                <w:rFonts w:hint="eastAsia"/>
                <w:sz w:val="24"/>
                <w:szCs w:val="24"/>
                <w:lang w:val="en-US"/>
              </w:rPr>
              <w:t>母联柜</w:t>
            </w:r>
            <w:proofErr w:type="gramEnd"/>
            <w:r>
              <w:rPr>
                <w:sz w:val="24"/>
                <w:szCs w:val="24"/>
                <w:lang w:val="en-US"/>
              </w:rPr>
              <w:t>等设备的运行状态进行监测，对上述设备的重要变量可视化。</w:t>
            </w:r>
            <w:r>
              <w:rPr>
                <w:rFonts w:hint="eastAsia"/>
                <w:sz w:val="24"/>
                <w:szCs w:val="24"/>
                <w:lang w:val="en-US"/>
              </w:rPr>
              <w:t>应具备报警确认、历史报警查看功能。</w:t>
            </w:r>
          </w:p>
          <w:p w14:paraId="28289E29" w14:textId="77777777" w:rsidR="00261432" w:rsidRDefault="00000000">
            <w:pPr>
              <w:numPr>
                <w:ilvl w:val="0"/>
                <w:numId w:val="4"/>
              </w:numPr>
              <w:rPr>
                <w:color w:val="000000" w:themeColor="text1"/>
              </w:rPr>
            </w:pPr>
            <w:r>
              <w:rPr>
                <w:rFonts w:hint="eastAsia"/>
                <w:color w:val="000000" w:themeColor="text1"/>
              </w:rPr>
              <w:t>控制</w:t>
            </w:r>
            <w:r>
              <w:rPr>
                <w:rFonts w:hint="eastAsia"/>
                <w:sz w:val="24"/>
                <w:szCs w:val="24"/>
                <w:lang w:val="en-US"/>
              </w:rPr>
              <w:t>功能</w:t>
            </w:r>
          </w:p>
          <w:p w14:paraId="39484C75" w14:textId="77777777" w:rsidR="00261432" w:rsidRDefault="00000000">
            <w:pPr>
              <w:ind w:firstLineChars="150" w:firstLine="360"/>
              <w:rPr>
                <w:sz w:val="24"/>
                <w:szCs w:val="24"/>
                <w:lang w:val="en-US"/>
              </w:rPr>
            </w:pPr>
            <w:r>
              <w:rPr>
                <w:rFonts w:hint="eastAsia"/>
                <w:sz w:val="24"/>
                <w:szCs w:val="24"/>
                <w:lang w:val="en-US"/>
              </w:rPr>
              <w:t>应能够在</w:t>
            </w:r>
            <w:r>
              <w:rPr>
                <w:sz w:val="24"/>
                <w:szCs w:val="24"/>
                <w:lang w:val="en-US"/>
              </w:rPr>
              <w:t>当前箱式电源SOC低于设定值时进行自动</w:t>
            </w:r>
            <w:r>
              <w:rPr>
                <w:rFonts w:hint="eastAsia"/>
                <w:sz w:val="24"/>
                <w:szCs w:val="24"/>
                <w:lang w:val="en-US"/>
              </w:rPr>
              <w:t>换电，</w:t>
            </w:r>
            <w:r>
              <w:rPr>
                <w:sz w:val="24"/>
                <w:szCs w:val="24"/>
                <w:lang w:val="en-US"/>
              </w:rPr>
              <w:t>自</w:t>
            </w:r>
            <w:proofErr w:type="gramStart"/>
            <w:r>
              <w:rPr>
                <w:sz w:val="24"/>
                <w:szCs w:val="24"/>
                <w:lang w:val="en-US"/>
              </w:rPr>
              <w:t>动换电</w:t>
            </w:r>
            <w:proofErr w:type="gramEnd"/>
            <w:r>
              <w:rPr>
                <w:sz w:val="24"/>
                <w:szCs w:val="24"/>
                <w:lang w:val="en-US"/>
              </w:rPr>
              <w:t>时，应先给出确认换箱的提示，确认后，再执行自动换箱操作。当多个箱式电源同时达到换</w:t>
            </w:r>
            <w:proofErr w:type="gramStart"/>
            <w:r>
              <w:rPr>
                <w:sz w:val="24"/>
                <w:szCs w:val="24"/>
                <w:lang w:val="en-US"/>
              </w:rPr>
              <w:t>箱条件</w:t>
            </w:r>
            <w:proofErr w:type="gramEnd"/>
            <w:r>
              <w:rPr>
                <w:sz w:val="24"/>
                <w:szCs w:val="24"/>
                <w:lang w:val="en-US"/>
              </w:rPr>
              <w:t>时</w:t>
            </w:r>
            <w:r>
              <w:rPr>
                <w:rFonts w:hint="eastAsia"/>
                <w:sz w:val="24"/>
                <w:szCs w:val="24"/>
                <w:lang w:val="en-US"/>
              </w:rPr>
              <w:t>，</w:t>
            </w:r>
            <w:r>
              <w:rPr>
                <w:sz w:val="24"/>
                <w:szCs w:val="24"/>
                <w:lang w:val="en-US"/>
              </w:rPr>
              <w:t>应按顺序逐个进行换箱确认操作。具有</w:t>
            </w:r>
            <w:r>
              <w:rPr>
                <w:rFonts w:hint="eastAsia"/>
                <w:sz w:val="24"/>
                <w:szCs w:val="24"/>
                <w:lang w:val="en-US"/>
              </w:rPr>
              <w:t>自动启动备用电源</w:t>
            </w:r>
            <w:r>
              <w:rPr>
                <w:sz w:val="24"/>
                <w:szCs w:val="24"/>
                <w:lang w:val="en-US"/>
              </w:rPr>
              <w:t>的功能</w:t>
            </w:r>
            <w:r>
              <w:rPr>
                <w:rFonts w:hint="eastAsia"/>
                <w:sz w:val="24"/>
                <w:szCs w:val="24"/>
                <w:lang w:val="en-US"/>
              </w:rPr>
              <w:t>。</w:t>
            </w:r>
          </w:p>
          <w:p w14:paraId="25A9FBDF" w14:textId="77777777" w:rsidR="00261432" w:rsidRDefault="00000000">
            <w:pPr>
              <w:numPr>
                <w:ilvl w:val="0"/>
                <w:numId w:val="4"/>
              </w:numPr>
              <w:rPr>
                <w:color w:val="000000" w:themeColor="text1"/>
              </w:rPr>
            </w:pPr>
            <w:r>
              <w:rPr>
                <w:color w:val="000000" w:themeColor="text1"/>
              </w:rPr>
              <w:t>安全保护</w:t>
            </w:r>
            <w:r>
              <w:rPr>
                <w:color w:val="000000" w:themeColor="text1"/>
                <w:lang w:val="en-US"/>
              </w:rPr>
              <w:t>功能</w:t>
            </w:r>
          </w:p>
          <w:p w14:paraId="05306BEA" w14:textId="77777777" w:rsidR="00261432" w:rsidRDefault="00000000">
            <w:pPr>
              <w:ind w:firstLineChars="150" w:firstLine="360"/>
              <w:rPr>
                <w:sz w:val="24"/>
                <w:szCs w:val="24"/>
                <w:lang w:val="en-US"/>
              </w:rPr>
            </w:pPr>
            <w:r>
              <w:rPr>
                <w:rFonts w:hint="eastAsia"/>
                <w:sz w:val="24"/>
                <w:szCs w:val="24"/>
                <w:lang w:val="en-US"/>
              </w:rPr>
              <w:t>箱式电源发生热失控报警后，</w:t>
            </w:r>
            <w:r>
              <w:rPr>
                <w:sz w:val="24"/>
                <w:szCs w:val="24"/>
                <w:lang w:val="en-US"/>
              </w:rPr>
              <w:t>具备紧急切断功能</w:t>
            </w:r>
            <w:r>
              <w:rPr>
                <w:rFonts w:hint="eastAsia"/>
                <w:sz w:val="24"/>
                <w:szCs w:val="24"/>
                <w:lang w:val="en-US"/>
              </w:rPr>
              <w:t>。应具有供电功率限制功能</w:t>
            </w:r>
            <w:r>
              <w:rPr>
                <w:sz w:val="24"/>
                <w:szCs w:val="24"/>
                <w:lang w:val="en-US"/>
              </w:rPr>
              <w:t>和</w:t>
            </w:r>
            <w:r>
              <w:rPr>
                <w:rFonts w:hint="eastAsia"/>
                <w:sz w:val="24"/>
                <w:szCs w:val="24"/>
                <w:lang w:val="en-US"/>
              </w:rPr>
              <w:t>优先脱扣功能，在直流变流器满载时，触发优先脱扣，进行分级卸载，保障重要负荷稳定运行。</w:t>
            </w:r>
          </w:p>
          <w:p w14:paraId="2DA89194" w14:textId="77777777" w:rsidR="00261432" w:rsidRDefault="00261432">
            <w:pPr>
              <w:pStyle w:val="af5"/>
              <w:numPr>
                <w:ilvl w:val="3"/>
                <w:numId w:val="0"/>
              </w:numPr>
              <w:ind w:firstLineChars="150" w:firstLine="360"/>
              <w:rPr>
                <w:i/>
                <w:sz w:val="24"/>
                <w:u w:val="single"/>
              </w:rPr>
            </w:pPr>
          </w:p>
        </w:tc>
      </w:tr>
      <w:tr w:rsidR="00261432" w14:paraId="12EE699A" w14:textId="77777777">
        <w:trPr>
          <w:trHeight w:val="834"/>
          <w:jc w:val="center"/>
        </w:trPr>
        <w:tc>
          <w:tcPr>
            <w:tcW w:w="2025" w:type="dxa"/>
            <w:vAlign w:val="center"/>
          </w:tcPr>
          <w:p w14:paraId="21B6995E" w14:textId="77777777" w:rsidR="00261432" w:rsidRDefault="00000000">
            <w:pPr>
              <w:widowControl/>
              <w:jc w:val="center"/>
              <w:rPr>
                <w:rFonts w:ascii="宋体" w:hAnsi="宋体" w:hint="eastAsia"/>
                <w:sz w:val="24"/>
              </w:rPr>
            </w:pPr>
            <w:r>
              <w:rPr>
                <w:rFonts w:ascii="宋体" w:hAnsi="宋体" w:hint="eastAsia"/>
                <w:sz w:val="24"/>
              </w:rPr>
              <w:t>国内外情况简要说明</w:t>
            </w:r>
          </w:p>
        </w:tc>
        <w:tc>
          <w:tcPr>
            <w:tcW w:w="7210" w:type="dxa"/>
            <w:gridSpan w:val="6"/>
          </w:tcPr>
          <w:p w14:paraId="5E1F99BE" w14:textId="77777777" w:rsidR="00261432" w:rsidRDefault="00000000">
            <w:pPr>
              <w:ind w:firstLineChars="150" w:firstLine="360"/>
              <w:rPr>
                <w:sz w:val="24"/>
                <w:szCs w:val="24"/>
                <w:lang w:val="en-US"/>
              </w:rPr>
            </w:pPr>
            <w:r>
              <w:rPr>
                <w:rFonts w:hint="eastAsia"/>
                <w:sz w:val="24"/>
                <w:szCs w:val="24"/>
                <w:lang w:val="en-US"/>
              </w:rPr>
              <w:t>目前国内能量管理系统相关已发布的标准或标准草案主要有：</w:t>
            </w:r>
          </w:p>
          <w:p w14:paraId="7D59E829" w14:textId="0E6BE8CA" w:rsidR="00261432" w:rsidRDefault="00000000">
            <w:pPr>
              <w:ind w:firstLineChars="200" w:firstLine="480"/>
              <w:rPr>
                <w:rFonts w:ascii="黑体" w:eastAsia="黑体" w:hAnsi="宋体" w:hint="eastAsia"/>
                <w:color w:val="000000"/>
                <w:sz w:val="24"/>
                <w:lang w:val="en-US"/>
              </w:rPr>
            </w:pPr>
            <w:r>
              <w:rPr>
                <w:rFonts w:ascii="黑体" w:eastAsia="黑体" w:hAnsi="宋体"/>
                <w:color w:val="000000"/>
                <w:sz w:val="24"/>
                <w:lang w:val="en-US"/>
              </w:rPr>
              <w:t>1</w:t>
            </w:r>
            <w:r>
              <w:rPr>
                <w:rFonts w:ascii="黑体" w:eastAsia="黑体" w:hAnsi="宋体" w:hint="eastAsia"/>
                <w:color w:val="000000"/>
                <w:sz w:val="24"/>
                <w:lang w:val="en-US"/>
              </w:rPr>
              <w:t>）国家标准GB_T 36274-2018</w:t>
            </w:r>
            <w:r w:rsidR="006A1A9C">
              <w:rPr>
                <w:rFonts w:ascii="黑体" w:eastAsia="黑体" w:hAnsi="宋体" w:hint="eastAsia"/>
                <w:color w:val="000000"/>
                <w:sz w:val="24"/>
                <w:lang w:val="en-US"/>
              </w:rPr>
              <w:t>《</w:t>
            </w:r>
            <w:r>
              <w:rPr>
                <w:rFonts w:ascii="黑体" w:eastAsia="黑体" w:hAnsi="宋体" w:hint="eastAsia"/>
                <w:color w:val="000000"/>
                <w:sz w:val="24"/>
                <w:lang w:val="en-US"/>
              </w:rPr>
              <w:t>微电网能量管理系统技术规范》</w:t>
            </w:r>
          </w:p>
          <w:p w14:paraId="7D2C5A70" w14:textId="77777777" w:rsidR="00261432" w:rsidRDefault="00000000">
            <w:pPr>
              <w:ind w:firstLineChars="200" w:firstLine="480"/>
              <w:rPr>
                <w:sz w:val="24"/>
                <w:lang w:val="en-US"/>
              </w:rPr>
            </w:pPr>
            <w:r>
              <w:rPr>
                <w:rFonts w:hint="eastAsia"/>
                <w:sz w:val="24"/>
                <w:lang w:val="en-US"/>
              </w:rPr>
              <w:t>由中国电力企业联合会提出并归口，规定了微电网能量管理系统的结构配置、工作环境条件、系统功能、性能指标等技术要求，适用于35KV及以下电压等级的新建、改建和扩建微电网。</w:t>
            </w:r>
          </w:p>
          <w:p w14:paraId="29966A1C" w14:textId="31DB9A4C" w:rsidR="00261432" w:rsidRDefault="00000000">
            <w:pPr>
              <w:ind w:firstLineChars="200" w:firstLine="480"/>
              <w:rPr>
                <w:rFonts w:ascii="黑体" w:eastAsia="黑体" w:hAnsi="宋体" w:hint="eastAsia"/>
                <w:color w:val="000000"/>
                <w:sz w:val="24"/>
                <w:lang w:val="en-US"/>
              </w:rPr>
            </w:pPr>
            <w:r>
              <w:rPr>
                <w:rFonts w:ascii="黑体" w:eastAsia="黑体" w:hAnsi="宋体"/>
                <w:color w:val="000000"/>
                <w:sz w:val="24"/>
                <w:lang w:val="en-US"/>
              </w:rPr>
              <w:t>2</w:t>
            </w:r>
            <w:r>
              <w:rPr>
                <w:rFonts w:ascii="黑体" w:eastAsia="黑体" w:hAnsi="宋体" w:hint="eastAsia"/>
                <w:color w:val="000000"/>
                <w:sz w:val="24"/>
                <w:lang w:val="en-US"/>
              </w:rPr>
              <w:t xml:space="preserve">）国家标准GB/T43334-2023 </w:t>
            </w:r>
            <w:r w:rsidR="006A1A9C">
              <w:rPr>
                <w:rFonts w:ascii="黑体" w:eastAsia="黑体" w:hAnsi="宋体" w:hint="eastAsia"/>
                <w:color w:val="000000"/>
                <w:sz w:val="24"/>
                <w:lang w:val="en-US"/>
              </w:rPr>
              <w:t>《</w:t>
            </w:r>
            <w:r>
              <w:rPr>
                <w:rFonts w:ascii="黑体" w:eastAsia="黑体" w:hAnsi="宋体" w:hint="eastAsia"/>
                <w:color w:val="000000"/>
                <w:sz w:val="24"/>
                <w:lang w:val="en-US"/>
              </w:rPr>
              <w:t>独立型微电网能量管理系统技术要求》</w:t>
            </w:r>
          </w:p>
          <w:p w14:paraId="0A716B8C" w14:textId="77777777" w:rsidR="00261432" w:rsidRDefault="00000000">
            <w:pPr>
              <w:ind w:firstLineChars="200" w:firstLine="480"/>
              <w:rPr>
                <w:sz w:val="24"/>
                <w:lang w:val="en-US"/>
              </w:rPr>
            </w:pPr>
            <w:r>
              <w:rPr>
                <w:rFonts w:hint="eastAsia"/>
                <w:sz w:val="24"/>
                <w:lang w:val="en-US"/>
              </w:rPr>
              <w:t>规定了独立型微电网能量管理系统功率预测、发电管理、负荷管理、储能管理、统计分析等方面的要求和试验内容，适用于新建、改建和扩建的独立型微电网能练管理系统的设计、运行和试验。</w:t>
            </w:r>
          </w:p>
          <w:p w14:paraId="1E1068D2" w14:textId="638EB580" w:rsidR="00261432" w:rsidRDefault="006A1A9C">
            <w:pPr>
              <w:ind w:firstLineChars="200" w:firstLine="480"/>
              <w:rPr>
                <w:rFonts w:ascii="黑体" w:eastAsia="黑体" w:hAnsi="宋体" w:hint="eastAsia"/>
                <w:color w:val="000000"/>
                <w:sz w:val="24"/>
                <w:lang w:val="en-US"/>
              </w:rPr>
            </w:pPr>
            <w:r>
              <w:rPr>
                <w:rFonts w:ascii="黑体" w:eastAsia="黑体" w:hAnsi="宋体" w:hint="eastAsia"/>
                <w:color w:val="000000"/>
                <w:sz w:val="24"/>
                <w:lang w:val="en-US"/>
              </w:rPr>
              <w:t>3</w:t>
            </w:r>
            <w:r w:rsidR="00000000">
              <w:rPr>
                <w:rFonts w:ascii="黑体" w:eastAsia="黑体" w:hAnsi="宋体" w:hint="eastAsia"/>
                <w:color w:val="000000"/>
                <w:sz w:val="24"/>
                <w:lang w:val="en-US"/>
              </w:rPr>
              <w:t>）国际标准 IEC 61970-452</w:t>
            </w:r>
            <w:r>
              <w:rPr>
                <w:rFonts w:ascii="黑体" w:eastAsia="黑体" w:hAnsi="宋体" w:hint="eastAsia"/>
                <w:color w:val="000000"/>
                <w:sz w:val="24"/>
                <w:lang w:val="en-US"/>
              </w:rPr>
              <w:t>《</w:t>
            </w:r>
            <w:r w:rsidRPr="006A1A9C">
              <w:rPr>
                <w:rFonts w:ascii="黑体" w:eastAsia="黑体" w:hAnsi="宋体" w:hint="eastAsia"/>
                <w:color w:val="000000"/>
                <w:sz w:val="24"/>
                <w:lang w:val="en-US"/>
              </w:rPr>
              <w:t>能源管理系统应用程序接口(EMS-API) .第452部分:CIM静态传输网络模型概要</w:t>
            </w:r>
            <w:r>
              <w:rPr>
                <w:rFonts w:ascii="黑体" w:eastAsia="黑体" w:hAnsi="宋体" w:hint="eastAsia"/>
                <w:color w:val="000000"/>
                <w:sz w:val="24"/>
                <w:lang w:val="en-US"/>
              </w:rPr>
              <w:t>》</w:t>
            </w:r>
          </w:p>
          <w:p w14:paraId="76920FA3" w14:textId="77777777" w:rsidR="00261432" w:rsidRDefault="00000000">
            <w:pPr>
              <w:ind w:firstLineChars="200" w:firstLine="480"/>
              <w:rPr>
                <w:sz w:val="24"/>
                <w:lang w:val="en-US"/>
              </w:rPr>
            </w:pPr>
            <w:r>
              <w:rPr>
                <w:rFonts w:hint="eastAsia"/>
                <w:sz w:val="24"/>
                <w:lang w:val="en-US"/>
              </w:rPr>
              <w:t>IEC 61970是国际电工委员会制定的《能量管理系统应用程序接口（EMS-API）》系列国际标准。对应国内的电力行业标准DL890。IEC 61970系列标准定义了能量管理系统（EMS）的应用程序接口（API），目的在于便于集成来自不同厂家的EMS内部的各种应用，便于将EMS与调度中心内部其它系统互联，以及便于实现不同调度中心EMS之间的模型交换。虽然IEC 61970称为“能量管理系统应用程序接口”，但实际上，IEC 61970的思路可适用于电力自动化、信息化乃至其他行业的应用系统集成。</w:t>
            </w:r>
          </w:p>
          <w:p w14:paraId="20F2853E" w14:textId="6E968AC1" w:rsidR="00261432" w:rsidRPr="006A1A9C" w:rsidRDefault="00000000" w:rsidP="006A1A9C">
            <w:pPr>
              <w:ind w:firstLineChars="200" w:firstLine="480"/>
              <w:rPr>
                <w:rFonts w:hint="eastAsia"/>
                <w:sz w:val="24"/>
                <w:szCs w:val="24"/>
                <w:lang w:val="en-US"/>
              </w:rPr>
            </w:pPr>
            <w:r>
              <w:rPr>
                <w:rFonts w:hint="eastAsia"/>
                <w:sz w:val="24"/>
                <w:szCs w:val="24"/>
                <w:lang w:val="en-US"/>
              </w:rPr>
              <w:lastRenderedPageBreak/>
              <w:t>上述已发布的标准都是针对陆用电网/微电网能量管理系统制定的，未结合纯电池动力船舶的系统要求提出其能量管理系统的技术要求。本标准</w:t>
            </w:r>
            <w:r>
              <w:rPr>
                <w:sz w:val="24"/>
                <w:szCs w:val="24"/>
                <w:lang w:val="en-US"/>
              </w:rPr>
              <w:t>的功能和性能是经过实船验证的，</w:t>
            </w:r>
            <w:r>
              <w:rPr>
                <w:rFonts w:hint="eastAsia"/>
                <w:sz w:val="24"/>
                <w:szCs w:val="24"/>
                <w:lang w:val="en-US"/>
              </w:rPr>
              <w:t>适合</w:t>
            </w:r>
            <w:r>
              <w:rPr>
                <w:sz w:val="24"/>
                <w:szCs w:val="24"/>
                <w:lang w:val="en-US"/>
              </w:rPr>
              <w:t>在大容量纯电池</w:t>
            </w:r>
            <w:r>
              <w:rPr>
                <w:rFonts w:hint="eastAsia"/>
                <w:sz w:val="24"/>
                <w:szCs w:val="24"/>
                <w:lang w:val="en-US"/>
              </w:rPr>
              <w:t>船舶</w:t>
            </w:r>
            <w:r>
              <w:rPr>
                <w:sz w:val="24"/>
                <w:szCs w:val="24"/>
                <w:lang w:val="en-US"/>
              </w:rPr>
              <w:t>上推广和</w:t>
            </w:r>
            <w:r>
              <w:rPr>
                <w:rFonts w:hint="eastAsia"/>
                <w:sz w:val="24"/>
                <w:szCs w:val="24"/>
                <w:lang w:val="en-US"/>
              </w:rPr>
              <w:t>应用。</w:t>
            </w:r>
          </w:p>
        </w:tc>
      </w:tr>
      <w:tr w:rsidR="00261432" w14:paraId="07B675C5" w14:textId="77777777">
        <w:trPr>
          <w:trHeight w:val="834"/>
          <w:jc w:val="center"/>
        </w:trPr>
        <w:tc>
          <w:tcPr>
            <w:tcW w:w="2025" w:type="dxa"/>
            <w:vAlign w:val="center"/>
          </w:tcPr>
          <w:p w14:paraId="5F55F6C2" w14:textId="77777777" w:rsidR="00261432" w:rsidRDefault="00000000">
            <w:pPr>
              <w:widowControl/>
              <w:jc w:val="center"/>
              <w:rPr>
                <w:rFonts w:ascii="宋体" w:hAnsi="宋体" w:hint="eastAsia"/>
                <w:sz w:val="24"/>
              </w:rPr>
            </w:pPr>
            <w:r>
              <w:rPr>
                <w:rFonts w:ascii="宋体" w:hAnsi="宋体" w:hint="eastAsia"/>
                <w:sz w:val="24"/>
              </w:rPr>
              <w:lastRenderedPageBreak/>
              <w:t>技术基础及</w:t>
            </w:r>
          </w:p>
          <w:p w14:paraId="7FE86B0E" w14:textId="77777777" w:rsidR="00261432" w:rsidRDefault="00000000">
            <w:pPr>
              <w:widowControl/>
              <w:jc w:val="center"/>
              <w:rPr>
                <w:rFonts w:ascii="宋体" w:hAnsi="宋体" w:hint="eastAsia"/>
                <w:sz w:val="24"/>
              </w:rPr>
            </w:pPr>
            <w:r>
              <w:rPr>
                <w:rFonts w:ascii="宋体" w:hAnsi="宋体" w:hint="eastAsia"/>
                <w:sz w:val="24"/>
              </w:rPr>
              <w:t>研究团队</w:t>
            </w:r>
          </w:p>
        </w:tc>
        <w:tc>
          <w:tcPr>
            <w:tcW w:w="7210" w:type="dxa"/>
            <w:gridSpan w:val="6"/>
          </w:tcPr>
          <w:p w14:paraId="125FFE96" w14:textId="77777777" w:rsidR="00261432" w:rsidRDefault="00000000">
            <w:pPr>
              <w:ind w:firstLineChars="200" w:firstLine="480"/>
              <w:rPr>
                <w:sz w:val="24"/>
                <w:lang w:val="en-US"/>
              </w:rPr>
            </w:pPr>
            <w:r>
              <w:rPr>
                <w:sz w:val="24"/>
                <w:lang w:val="en-US"/>
              </w:rPr>
              <w:t>中远海运集团下属扬州中远</w:t>
            </w:r>
            <w:proofErr w:type="gramStart"/>
            <w:r>
              <w:rPr>
                <w:sz w:val="24"/>
                <w:lang w:val="en-US"/>
              </w:rPr>
              <w:t>海运重</w:t>
            </w:r>
            <w:proofErr w:type="gramEnd"/>
            <w:r>
              <w:rPr>
                <w:sz w:val="24"/>
                <w:lang w:val="en-US"/>
              </w:rPr>
              <w:t>工有限公司已成功建造了2艘700箱纯电池集装箱船，该船</w:t>
            </w:r>
            <w:proofErr w:type="gramStart"/>
            <w:r>
              <w:rPr>
                <w:sz w:val="24"/>
                <w:lang w:val="en-US"/>
              </w:rPr>
              <w:t>属于船电分离式</w:t>
            </w:r>
            <w:proofErr w:type="gramEnd"/>
            <w:r>
              <w:rPr>
                <w:sz w:val="24"/>
                <w:lang w:val="en-US"/>
              </w:rPr>
              <w:t>电动船舶。我所提供的能量管理系统需要对直流配电板、多个箱式电源进行控制，换电及换箱策略符合船东、船检要求，功能合理、性能稳定。整个标准的起草标准的团队涵盖了研究所、船检部分、船舶建造单位以及负责营运的船东，研究团队的成员具有丰富的行业经验和研究及检验建造的能力。</w:t>
            </w:r>
          </w:p>
        </w:tc>
      </w:tr>
      <w:tr w:rsidR="00261432" w14:paraId="2F08D4E5" w14:textId="77777777">
        <w:trPr>
          <w:trHeight w:val="944"/>
          <w:jc w:val="center"/>
        </w:trPr>
        <w:tc>
          <w:tcPr>
            <w:tcW w:w="2025" w:type="dxa"/>
            <w:vAlign w:val="center"/>
          </w:tcPr>
          <w:p w14:paraId="7DD0BFA9" w14:textId="77777777" w:rsidR="00261432" w:rsidRDefault="00000000">
            <w:pPr>
              <w:jc w:val="center"/>
              <w:rPr>
                <w:rFonts w:ascii="宋体" w:hAnsi="宋体" w:hint="eastAsia"/>
                <w:sz w:val="24"/>
              </w:rPr>
            </w:pPr>
            <w:r>
              <w:rPr>
                <w:rFonts w:ascii="宋体" w:hAnsi="宋体" w:hint="eastAsia"/>
                <w:sz w:val="24"/>
              </w:rPr>
              <w:t>申请立项单位意见</w:t>
            </w:r>
          </w:p>
        </w:tc>
        <w:tc>
          <w:tcPr>
            <w:tcW w:w="7210" w:type="dxa"/>
            <w:gridSpan w:val="6"/>
            <w:vAlign w:val="bottom"/>
          </w:tcPr>
          <w:p w14:paraId="4C559FF8" w14:textId="77777777" w:rsidR="00261432" w:rsidRDefault="00000000">
            <w:pPr>
              <w:wordWrap w:val="0"/>
              <w:jc w:val="right"/>
              <w:rPr>
                <w:sz w:val="24"/>
              </w:rPr>
            </w:pPr>
            <w:r>
              <w:rPr>
                <w:rFonts w:hint="eastAsia"/>
                <w:sz w:val="24"/>
              </w:rPr>
              <w:t xml:space="preserve">（盖章）                                          </w:t>
            </w:r>
          </w:p>
          <w:p w14:paraId="0BE6C464" w14:textId="77777777" w:rsidR="00261432" w:rsidRDefault="00000000">
            <w:pPr>
              <w:jc w:val="right"/>
              <w:rPr>
                <w:rFonts w:ascii="黑体" w:eastAsia="黑体" w:hAnsi="宋体" w:hint="eastAsia"/>
                <w:color w:val="000000"/>
                <w:sz w:val="24"/>
              </w:rPr>
            </w:pPr>
            <w:r>
              <w:rPr>
                <w:rFonts w:hint="eastAsia"/>
                <w:sz w:val="24"/>
              </w:rPr>
              <w:t>年   月   日</w:t>
            </w:r>
          </w:p>
        </w:tc>
      </w:tr>
      <w:tr w:rsidR="00261432" w14:paraId="6E04F7FF" w14:textId="77777777">
        <w:trPr>
          <w:trHeight w:val="1890"/>
          <w:jc w:val="center"/>
        </w:trPr>
        <w:tc>
          <w:tcPr>
            <w:tcW w:w="2025" w:type="dxa"/>
            <w:vAlign w:val="center"/>
          </w:tcPr>
          <w:p w14:paraId="00DC213F" w14:textId="77777777" w:rsidR="00261432" w:rsidRDefault="00000000">
            <w:pPr>
              <w:jc w:val="center"/>
              <w:rPr>
                <w:sz w:val="24"/>
              </w:rPr>
            </w:pPr>
            <w:r>
              <w:rPr>
                <w:rFonts w:hint="eastAsia"/>
                <w:sz w:val="24"/>
              </w:rPr>
              <w:t>标准化学术委员会意见</w:t>
            </w:r>
          </w:p>
        </w:tc>
        <w:tc>
          <w:tcPr>
            <w:tcW w:w="2551" w:type="dxa"/>
            <w:gridSpan w:val="2"/>
            <w:vAlign w:val="bottom"/>
          </w:tcPr>
          <w:p w14:paraId="17F42F60" w14:textId="77777777" w:rsidR="00261432" w:rsidRDefault="00000000">
            <w:pPr>
              <w:wordWrap w:val="0"/>
              <w:jc w:val="right"/>
              <w:rPr>
                <w:sz w:val="24"/>
              </w:rPr>
            </w:pPr>
            <w:r>
              <w:rPr>
                <w:rFonts w:hint="eastAsia"/>
                <w:sz w:val="24"/>
              </w:rPr>
              <w:t xml:space="preserve">（签名、盖章）     </w:t>
            </w:r>
          </w:p>
          <w:p w14:paraId="0DCA4647" w14:textId="77777777" w:rsidR="00261432" w:rsidRDefault="00261432">
            <w:pPr>
              <w:jc w:val="right"/>
              <w:rPr>
                <w:sz w:val="24"/>
              </w:rPr>
            </w:pPr>
          </w:p>
          <w:p w14:paraId="23F6CCF3" w14:textId="77777777" w:rsidR="00261432" w:rsidRDefault="00261432">
            <w:pPr>
              <w:jc w:val="right"/>
              <w:rPr>
                <w:sz w:val="24"/>
              </w:rPr>
            </w:pPr>
          </w:p>
          <w:p w14:paraId="4E215C7B" w14:textId="77777777" w:rsidR="00261432" w:rsidRDefault="00000000">
            <w:pPr>
              <w:jc w:val="right"/>
              <w:rPr>
                <w:sz w:val="24"/>
              </w:rPr>
            </w:pPr>
            <w:r>
              <w:rPr>
                <w:rFonts w:hint="eastAsia"/>
                <w:sz w:val="24"/>
              </w:rPr>
              <w:t>年   月   日</w:t>
            </w:r>
          </w:p>
        </w:tc>
        <w:tc>
          <w:tcPr>
            <w:tcW w:w="1985" w:type="dxa"/>
            <w:gridSpan w:val="3"/>
            <w:vAlign w:val="center"/>
          </w:tcPr>
          <w:p w14:paraId="70E5C6D7" w14:textId="77777777" w:rsidR="00261432" w:rsidRDefault="00000000">
            <w:pPr>
              <w:jc w:val="center"/>
              <w:rPr>
                <w:sz w:val="24"/>
              </w:rPr>
            </w:pPr>
            <w:r>
              <w:rPr>
                <w:rFonts w:hint="eastAsia"/>
                <w:sz w:val="24"/>
              </w:rPr>
              <w:t>中国造船工程学</w:t>
            </w:r>
            <w:proofErr w:type="gramStart"/>
            <w:r>
              <w:rPr>
                <w:rFonts w:hint="eastAsia"/>
                <w:sz w:val="24"/>
              </w:rPr>
              <w:t>会意见</w:t>
            </w:r>
            <w:proofErr w:type="gramEnd"/>
          </w:p>
        </w:tc>
        <w:tc>
          <w:tcPr>
            <w:tcW w:w="2674" w:type="dxa"/>
            <w:vAlign w:val="bottom"/>
          </w:tcPr>
          <w:p w14:paraId="3A0A1AB2" w14:textId="77777777" w:rsidR="00261432" w:rsidRDefault="00000000">
            <w:pPr>
              <w:wordWrap w:val="0"/>
              <w:jc w:val="right"/>
              <w:rPr>
                <w:sz w:val="24"/>
              </w:rPr>
            </w:pPr>
            <w:r>
              <w:rPr>
                <w:rFonts w:hint="eastAsia"/>
                <w:sz w:val="24"/>
              </w:rPr>
              <w:t xml:space="preserve">（签名、盖章）             </w:t>
            </w:r>
          </w:p>
          <w:p w14:paraId="30AEEA6B" w14:textId="77777777" w:rsidR="00261432" w:rsidRDefault="00261432">
            <w:pPr>
              <w:jc w:val="right"/>
              <w:rPr>
                <w:sz w:val="24"/>
              </w:rPr>
            </w:pPr>
          </w:p>
          <w:p w14:paraId="4163D6D9" w14:textId="77777777" w:rsidR="00261432" w:rsidRDefault="00261432">
            <w:pPr>
              <w:jc w:val="right"/>
              <w:rPr>
                <w:sz w:val="24"/>
              </w:rPr>
            </w:pPr>
          </w:p>
          <w:p w14:paraId="2E3623B7" w14:textId="77777777" w:rsidR="00261432" w:rsidRDefault="00000000">
            <w:pPr>
              <w:jc w:val="right"/>
              <w:rPr>
                <w:sz w:val="24"/>
              </w:rPr>
            </w:pPr>
            <w:r>
              <w:rPr>
                <w:rFonts w:hint="eastAsia"/>
                <w:sz w:val="24"/>
              </w:rPr>
              <w:t>年   月   日</w:t>
            </w:r>
          </w:p>
        </w:tc>
      </w:tr>
    </w:tbl>
    <w:p w14:paraId="4FAAEDA4" w14:textId="77777777" w:rsidR="00261432" w:rsidRDefault="00000000">
      <w:pPr>
        <w:jc w:val="left"/>
      </w:pPr>
      <w:r>
        <w:rPr>
          <w:rFonts w:hAnsiTheme="minorEastAsia" w:hint="eastAsia"/>
        </w:rPr>
        <w:t>注：如本表空间不够，可另附页。</w:t>
      </w:r>
    </w:p>
    <w:sectPr w:rsidR="0026143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D3FEA"/>
    <w:multiLevelType w:val="multilevel"/>
    <w:tmpl w:val="07ED3FEA"/>
    <w:lvl w:ilvl="0">
      <w:start w:val="1"/>
      <w:numFmt w:val="none"/>
      <w:pStyle w:val="a"/>
      <w:lvlText w:val="%1"/>
      <w:lvlJc w:val="left"/>
      <w:pPr>
        <w:ind w:left="425" w:hanging="425"/>
      </w:pPr>
      <w:rPr>
        <w:rFonts w:hint="eastAsia"/>
      </w:rPr>
    </w:lvl>
    <w:lvl w:ilvl="1">
      <w:start w:val="1"/>
      <w:numFmt w:val="decimal"/>
      <w:suff w:val="nothing"/>
      <w:lvlText w:val="%10.%2 "/>
      <w:lvlJc w:val="left"/>
      <w:pPr>
        <w:ind w:left="0" w:firstLine="0"/>
      </w:pPr>
      <w:rPr>
        <w:rFonts w:ascii="黑体" w:eastAsia="黑体" w:hAnsiTheme="minorHAnsi" w:hint="eastAsia"/>
        <w:b w:val="0"/>
        <w:i w:val="0"/>
        <w:sz w:val="21"/>
      </w:rPr>
    </w:lvl>
    <w:lvl w:ilvl="2">
      <w:start w:val="1"/>
      <w:numFmt w:val="decimal"/>
      <w:suff w:val="nothing"/>
      <w:lvlText w:val="%10.%2.%3 "/>
      <w:lvlJc w:val="left"/>
      <w:pPr>
        <w:ind w:left="0" w:firstLine="0"/>
      </w:pPr>
      <w:rPr>
        <w:rFonts w:ascii="黑体" w:eastAsia="黑体" w:hAnsiTheme="minorHAnsi" w:hint="eastAsia"/>
        <w:b w:val="0"/>
        <w:i w:val="0"/>
        <w:sz w:val="21"/>
      </w:rPr>
    </w:lvl>
    <w:lvl w:ilvl="3">
      <w:start w:val="1"/>
      <w:numFmt w:val="decimal"/>
      <w:suff w:val="nothing"/>
      <w:lvlText w:val="%10.%2.%3.%4 "/>
      <w:lvlJc w:val="left"/>
      <w:pPr>
        <w:ind w:left="0" w:firstLine="0"/>
      </w:pPr>
      <w:rPr>
        <w:rFonts w:ascii="黑体" w:eastAsia="黑体" w:hAnsiTheme="minorHAnsi" w:hint="eastAsia"/>
        <w:b w:val="0"/>
        <w:i w:val="0"/>
        <w:sz w:val="21"/>
      </w:rPr>
    </w:lvl>
    <w:lvl w:ilvl="4">
      <w:start w:val="1"/>
      <w:numFmt w:val="decimal"/>
      <w:suff w:val="nothing"/>
      <w:lvlText w:val="%10.%2.%3.%4.%5 "/>
      <w:lvlJc w:val="left"/>
      <w:pPr>
        <w:ind w:left="0" w:firstLine="0"/>
      </w:pPr>
      <w:rPr>
        <w:rFonts w:ascii="黑体" w:eastAsia="黑体" w:hAnsiTheme="minorHAnsi" w:hint="eastAsia"/>
        <w:b w:val="0"/>
        <w:i w:val="0"/>
        <w:sz w:val="21"/>
      </w:rPr>
    </w:lvl>
    <w:lvl w:ilvl="5">
      <w:start w:val="1"/>
      <w:numFmt w:val="decimal"/>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A07EE12"/>
    <w:multiLevelType w:val="singleLevel"/>
    <w:tmpl w:val="0A07EE12"/>
    <w:lvl w:ilvl="0">
      <w:start w:val="1"/>
      <w:numFmt w:val="decimal"/>
      <w:suff w:val="nothing"/>
      <w:lvlText w:val="%1）"/>
      <w:lvlJc w:val="left"/>
    </w:lvl>
  </w:abstractNum>
  <w:abstractNum w:abstractNumId="2" w15:restartNumberingAfterBreak="0">
    <w:nsid w:val="62081883"/>
    <w:multiLevelType w:val="multilevel"/>
    <w:tmpl w:val="62081883"/>
    <w:lvl w:ilvl="0">
      <w:start w:val="1"/>
      <w:numFmt w:val="lowerLetter"/>
      <w:pStyle w:val="a0"/>
      <w:lvlText w:val="%1)"/>
      <w:lvlJc w:val="left"/>
      <w:pPr>
        <w:tabs>
          <w:tab w:val="left" w:pos="852"/>
        </w:tabs>
        <w:ind w:left="852"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3"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1"/>
      <w:suff w:val="nothing"/>
      <w:lvlText w:val="%1%2　"/>
      <w:lvlJc w:val="left"/>
      <w:pPr>
        <w:ind w:left="0" w:firstLine="0"/>
      </w:pPr>
      <w:rPr>
        <w:rFonts w:ascii="黑体" w:eastAsia="黑体" w:hint="eastAsia"/>
        <w:b w:val="0"/>
        <w:i w:val="0"/>
        <w:sz w:val="21"/>
      </w:rPr>
    </w:lvl>
    <w:lvl w:ilvl="2">
      <w:start w:val="1"/>
      <w:numFmt w:val="decimal"/>
      <w:pStyle w:val="a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3"/>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367605879">
    <w:abstractNumId w:val="3"/>
  </w:num>
  <w:num w:numId="2" w16cid:durableId="1415862648">
    <w:abstractNumId w:val="2"/>
  </w:num>
  <w:num w:numId="3" w16cid:durableId="1819228194">
    <w:abstractNumId w:val="0"/>
  </w:num>
  <w:num w:numId="4" w16cid:durableId="11325515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TljYmI0Mzk3NDI3YTJkMmYwNzY2NGZlY2JjMjEwYWMifQ=="/>
  </w:docVars>
  <w:rsids>
    <w:rsidRoot w:val="00EB3B78"/>
    <w:rsid w:val="000D31CF"/>
    <w:rsid w:val="00100D56"/>
    <w:rsid w:val="00261432"/>
    <w:rsid w:val="003C16F7"/>
    <w:rsid w:val="0051626C"/>
    <w:rsid w:val="005E7D40"/>
    <w:rsid w:val="006A1A9C"/>
    <w:rsid w:val="006E75F0"/>
    <w:rsid w:val="00792743"/>
    <w:rsid w:val="0081610F"/>
    <w:rsid w:val="00837D5D"/>
    <w:rsid w:val="00B439F8"/>
    <w:rsid w:val="00BC5F6E"/>
    <w:rsid w:val="00C429AF"/>
    <w:rsid w:val="00E3159D"/>
    <w:rsid w:val="00EB3B78"/>
    <w:rsid w:val="00ED0BF3"/>
    <w:rsid w:val="00EF30F5"/>
    <w:rsid w:val="00F87733"/>
    <w:rsid w:val="00FF5258"/>
    <w:rsid w:val="01D6556A"/>
    <w:rsid w:val="1B803E91"/>
    <w:rsid w:val="23BC0B95"/>
    <w:rsid w:val="28B01F34"/>
    <w:rsid w:val="377160EE"/>
    <w:rsid w:val="3C9B4400"/>
    <w:rsid w:val="4AB42290"/>
    <w:rsid w:val="52AD62F0"/>
    <w:rsid w:val="6BDE0B9A"/>
    <w:rsid w:val="6F6C36E5"/>
    <w:rsid w:val="7971559B"/>
    <w:rsid w:val="7D5133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90C06"/>
  <w15:docId w15:val="{795FE382-F781-4C94-AEA2-D4706BB9D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pPr>
      <w:widowControl w:val="0"/>
      <w:jc w:val="both"/>
    </w:pPr>
    <w:rPr>
      <w:rFonts w:asciiTheme="minorEastAsia" w:cs="Times New Roman"/>
      <w:snapToGrid w:val="0"/>
      <w:sz w:val="21"/>
      <w:szCs w:val="21"/>
      <w:lang w:val="en-GB"/>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a9"/>
    <w:uiPriority w:val="99"/>
    <w:semiHidden/>
    <w:unhideWhenUsed/>
    <w:qFormat/>
    <w:pPr>
      <w:jc w:val="left"/>
    </w:pPr>
  </w:style>
  <w:style w:type="paragraph" w:styleId="aa">
    <w:name w:val="Balloon Text"/>
    <w:basedOn w:val="a4"/>
    <w:link w:val="ab"/>
    <w:uiPriority w:val="99"/>
    <w:semiHidden/>
    <w:unhideWhenUsed/>
    <w:rPr>
      <w:sz w:val="18"/>
      <w:szCs w:val="18"/>
    </w:rPr>
  </w:style>
  <w:style w:type="paragraph" w:styleId="ac">
    <w:name w:val="footer"/>
    <w:basedOn w:val="a4"/>
    <w:link w:val="ad"/>
    <w:uiPriority w:val="99"/>
    <w:semiHidden/>
    <w:unhideWhenUsed/>
    <w:qFormat/>
    <w:pPr>
      <w:tabs>
        <w:tab w:val="center" w:pos="4153"/>
        <w:tab w:val="right" w:pos="8306"/>
      </w:tabs>
      <w:snapToGrid w:val="0"/>
      <w:jc w:val="left"/>
    </w:pPr>
    <w:rPr>
      <w:sz w:val="18"/>
      <w:szCs w:val="18"/>
    </w:rPr>
  </w:style>
  <w:style w:type="paragraph" w:styleId="ae">
    <w:name w:val="header"/>
    <w:basedOn w:val="a4"/>
    <w:link w:val="af"/>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f0">
    <w:name w:val="annotation subject"/>
    <w:basedOn w:val="a8"/>
    <w:next w:val="a8"/>
    <w:link w:val="af1"/>
    <w:uiPriority w:val="99"/>
    <w:semiHidden/>
    <w:unhideWhenUsed/>
    <w:qFormat/>
    <w:rPr>
      <w:b/>
      <w:bCs/>
    </w:rPr>
  </w:style>
  <w:style w:type="character" w:styleId="af2">
    <w:name w:val="annotation reference"/>
    <w:basedOn w:val="a5"/>
    <w:uiPriority w:val="99"/>
    <w:semiHidden/>
    <w:unhideWhenUsed/>
    <w:qFormat/>
    <w:rPr>
      <w:sz w:val="21"/>
      <w:szCs w:val="21"/>
    </w:rPr>
  </w:style>
  <w:style w:type="paragraph" w:styleId="af3">
    <w:name w:val="List Paragraph"/>
    <w:basedOn w:val="a4"/>
    <w:uiPriority w:val="34"/>
    <w:qFormat/>
    <w:pPr>
      <w:ind w:firstLineChars="200" w:firstLine="420"/>
    </w:pPr>
  </w:style>
  <w:style w:type="paragraph" w:customStyle="1" w:styleId="af4">
    <w:name w:val="标准文件_段"/>
    <w:autoRedefine/>
    <w:qFormat/>
    <w:pPr>
      <w:autoSpaceDE w:val="0"/>
      <w:autoSpaceDN w:val="0"/>
      <w:ind w:firstLineChars="200" w:firstLine="200"/>
      <w:jc w:val="both"/>
    </w:pPr>
    <w:rPr>
      <w:rFonts w:ascii="宋体" w:eastAsia="宋体" w:hAnsi="Times New Roman" w:cs="Times New Roman"/>
      <w:sz w:val="21"/>
    </w:rPr>
  </w:style>
  <w:style w:type="paragraph" w:customStyle="1" w:styleId="a2">
    <w:name w:val="标准文件_一级条标题"/>
    <w:basedOn w:val="a1"/>
    <w:next w:val="af4"/>
    <w:autoRedefine/>
    <w:qFormat/>
    <w:pPr>
      <w:numPr>
        <w:ilvl w:val="2"/>
      </w:numPr>
      <w:spacing w:beforeLines="50" w:afterLines="50"/>
      <w:outlineLvl w:val="1"/>
    </w:pPr>
  </w:style>
  <w:style w:type="paragraph" w:customStyle="1" w:styleId="a1">
    <w:name w:val="标准文件_章标题"/>
    <w:next w:val="af4"/>
    <w:autoRedefine/>
    <w:qFormat/>
    <w:pPr>
      <w:numPr>
        <w:ilvl w:val="1"/>
        <w:numId w:val="1"/>
      </w:numPr>
      <w:spacing w:beforeLines="100" w:afterLines="100"/>
      <w:jc w:val="both"/>
      <w:outlineLvl w:val="0"/>
    </w:pPr>
    <w:rPr>
      <w:rFonts w:ascii="黑体" w:eastAsia="黑体" w:hAnsi="Times New Roman" w:cs="Times New Roman"/>
      <w:sz w:val="21"/>
    </w:rPr>
  </w:style>
  <w:style w:type="paragraph" w:customStyle="1" w:styleId="af5">
    <w:name w:val="标准文件_二级无标题"/>
    <w:basedOn w:val="a3"/>
    <w:autoRedefine/>
    <w:qFormat/>
    <w:pPr>
      <w:spacing w:beforeLines="0" w:afterLines="0"/>
      <w:outlineLvl w:val="9"/>
    </w:pPr>
    <w:rPr>
      <w:rFonts w:ascii="宋体" w:eastAsia="宋体"/>
    </w:rPr>
  </w:style>
  <w:style w:type="paragraph" w:customStyle="1" w:styleId="a3">
    <w:name w:val="标准文件_二级条标题"/>
    <w:next w:val="af4"/>
    <w:autoRedefine/>
    <w:qFormat/>
    <w:pPr>
      <w:widowControl w:val="0"/>
      <w:numPr>
        <w:ilvl w:val="3"/>
        <w:numId w:val="1"/>
      </w:numPr>
      <w:spacing w:beforeLines="50" w:afterLines="50"/>
      <w:jc w:val="both"/>
      <w:outlineLvl w:val="2"/>
    </w:pPr>
    <w:rPr>
      <w:rFonts w:ascii="黑体" w:eastAsia="黑体" w:hAnsi="Times New Roman" w:cs="Times New Roman"/>
      <w:sz w:val="21"/>
    </w:rPr>
  </w:style>
  <w:style w:type="paragraph" w:customStyle="1" w:styleId="a0">
    <w:name w:val="标准文件_字母编号列项（一级）"/>
    <w:autoRedefine/>
    <w:qFormat/>
    <w:pPr>
      <w:numPr>
        <w:numId w:val="2"/>
      </w:numPr>
      <w:jc w:val="both"/>
    </w:pPr>
    <w:rPr>
      <w:rFonts w:ascii="宋体" w:eastAsia="宋体" w:hAnsi="Times New Roman" w:cs="Times New Roman"/>
      <w:sz w:val="21"/>
    </w:rPr>
  </w:style>
  <w:style w:type="paragraph" w:customStyle="1" w:styleId="af6">
    <w:name w:val="标准文件_参考文献标题"/>
    <w:basedOn w:val="a4"/>
    <w:next w:val="a4"/>
    <w:autoRedefine/>
    <w:qFormat/>
    <w:pPr>
      <w:widowControl/>
      <w:shd w:val="clear" w:color="FFFFFF" w:fill="FFFFFF"/>
      <w:spacing w:before="560" w:afterLines="50"/>
      <w:jc w:val="center"/>
      <w:outlineLvl w:val="0"/>
    </w:pPr>
    <w:rPr>
      <w:rFonts w:ascii="黑体" w:eastAsia="黑体"/>
    </w:rPr>
  </w:style>
  <w:style w:type="paragraph" w:customStyle="1" w:styleId="a">
    <w:name w:val="标准文件_前言、引言标题"/>
    <w:next w:val="a4"/>
    <w:autoRedefine/>
    <w:qFormat/>
    <w:pPr>
      <w:numPr>
        <w:numId w:val="3"/>
      </w:numPr>
      <w:shd w:val="clear" w:color="FFFFFF" w:fill="FFFFFF"/>
      <w:spacing w:before="480" w:afterLines="150"/>
      <w:jc w:val="center"/>
      <w:outlineLvl w:val="0"/>
    </w:pPr>
    <w:rPr>
      <w:rFonts w:ascii="黑体" w:eastAsia="黑体" w:hAnsi="Times New Roman" w:cs="Times New Roman"/>
      <w:sz w:val="32"/>
    </w:rPr>
  </w:style>
  <w:style w:type="character" w:customStyle="1" w:styleId="a9">
    <w:name w:val="批注文字 字符"/>
    <w:basedOn w:val="a5"/>
    <w:link w:val="a8"/>
    <w:uiPriority w:val="99"/>
    <w:semiHidden/>
    <w:qFormat/>
    <w:rPr>
      <w:rFonts w:asciiTheme="minorEastAsia" w:cs="Times New Roman"/>
      <w:snapToGrid w:val="0"/>
      <w:sz w:val="21"/>
      <w:szCs w:val="21"/>
      <w:lang w:val="en-GB"/>
    </w:rPr>
  </w:style>
  <w:style w:type="character" w:customStyle="1" w:styleId="af1">
    <w:name w:val="批注主题 字符"/>
    <w:basedOn w:val="a9"/>
    <w:link w:val="af0"/>
    <w:uiPriority w:val="99"/>
    <w:semiHidden/>
    <w:qFormat/>
    <w:rPr>
      <w:rFonts w:asciiTheme="minorEastAsia" w:cs="Times New Roman"/>
      <w:b/>
      <w:bCs/>
      <w:snapToGrid w:val="0"/>
      <w:sz w:val="21"/>
      <w:szCs w:val="21"/>
      <w:lang w:val="en-GB"/>
    </w:rPr>
  </w:style>
  <w:style w:type="character" w:customStyle="1" w:styleId="ab">
    <w:name w:val="批注框文本 字符"/>
    <w:basedOn w:val="a5"/>
    <w:link w:val="aa"/>
    <w:uiPriority w:val="99"/>
    <w:semiHidden/>
    <w:qFormat/>
    <w:rPr>
      <w:rFonts w:asciiTheme="minorEastAsia" w:cs="Times New Roman"/>
      <w:snapToGrid w:val="0"/>
      <w:sz w:val="18"/>
      <w:szCs w:val="18"/>
      <w:lang w:val="en-GB"/>
    </w:rPr>
  </w:style>
  <w:style w:type="character" w:customStyle="1" w:styleId="af">
    <w:name w:val="页眉 字符"/>
    <w:basedOn w:val="a5"/>
    <w:link w:val="ae"/>
    <w:uiPriority w:val="99"/>
    <w:semiHidden/>
    <w:qFormat/>
    <w:rPr>
      <w:rFonts w:asciiTheme="minorEastAsia" w:cs="Times New Roman"/>
      <w:snapToGrid w:val="0"/>
      <w:sz w:val="18"/>
      <w:szCs w:val="18"/>
      <w:lang w:val="en-GB"/>
    </w:rPr>
  </w:style>
  <w:style w:type="character" w:customStyle="1" w:styleId="ad">
    <w:name w:val="页脚 字符"/>
    <w:basedOn w:val="a5"/>
    <w:link w:val="ac"/>
    <w:uiPriority w:val="99"/>
    <w:semiHidden/>
    <w:qFormat/>
    <w:rPr>
      <w:rFonts w:asciiTheme="minorEastAsia" w:cs="Times New Roman"/>
      <w:snapToGrid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386</Words>
  <Characters>2204</Characters>
  <Application>Microsoft Office Word</Application>
  <DocSecurity>0</DocSecurity>
  <Lines>18</Lines>
  <Paragraphs>5</Paragraphs>
  <ScaleCrop>false</ScaleCrop>
  <Company>Microsoft</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yan biao</cp:lastModifiedBy>
  <cp:revision>9</cp:revision>
  <dcterms:created xsi:type="dcterms:W3CDTF">2022-08-15T06:27:00Z</dcterms:created>
  <dcterms:modified xsi:type="dcterms:W3CDTF">2024-07-08T02:12:00Z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0A99FF815B694A5EA2DF4C6F1DFF22E9</vt:lpwstr>
  </property>
</Properties>
</file>