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C06E0" w14:textId="77777777" w:rsidR="007177F2" w:rsidRDefault="00000000">
      <w:pPr>
        <w:spacing w:line="360" w:lineRule="auto"/>
        <w:jc w:val="left"/>
        <w:rPr>
          <w:rFonts w:ascii="黑体" w:eastAsia="黑体" w:hAnsi="华文细黑" w:hint="eastAsia"/>
          <w:sz w:val="24"/>
        </w:rPr>
      </w:pPr>
      <w:r>
        <w:rPr>
          <w:rFonts w:ascii="黑体" w:eastAsia="黑体" w:hAnsi="华文细黑" w:hint="eastAsia"/>
          <w:sz w:val="24"/>
        </w:rPr>
        <w:t>附件1</w:t>
      </w:r>
    </w:p>
    <w:p w14:paraId="0000A5A8" w14:textId="77777777" w:rsidR="007177F2" w:rsidRDefault="00000000">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7177F2" w14:paraId="1DBBAF47" w14:textId="77777777">
        <w:trPr>
          <w:trHeight w:val="605"/>
          <w:jc w:val="center"/>
        </w:trPr>
        <w:tc>
          <w:tcPr>
            <w:tcW w:w="2025" w:type="dxa"/>
            <w:vAlign w:val="center"/>
          </w:tcPr>
          <w:p w14:paraId="33DFCF2F" w14:textId="77777777" w:rsidR="007177F2" w:rsidRDefault="00000000">
            <w:pPr>
              <w:jc w:val="center"/>
              <w:rPr>
                <w:sz w:val="24"/>
              </w:rPr>
            </w:pPr>
            <w:r>
              <w:rPr>
                <w:rFonts w:hint="eastAsia"/>
                <w:sz w:val="24"/>
              </w:rPr>
              <w:t>项目名称</w:t>
            </w:r>
          </w:p>
          <w:p w14:paraId="2C1C1DE9" w14:textId="77777777" w:rsidR="007177F2" w:rsidRDefault="00000000">
            <w:pPr>
              <w:jc w:val="center"/>
              <w:rPr>
                <w:sz w:val="24"/>
              </w:rPr>
            </w:pPr>
            <w:r>
              <w:rPr>
                <w:rFonts w:hint="eastAsia"/>
                <w:sz w:val="24"/>
              </w:rPr>
              <w:t>（中文）</w:t>
            </w:r>
          </w:p>
        </w:tc>
        <w:tc>
          <w:tcPr>
            <w:tcW w:w="7210" w:type="dxa"/>
            <w:gridSpan w:val="6"/>
            <w:vAlign w:val="center"/>
          </w:tcPr>
          <w:p w14:paraId="4DB4411F" w14:textId="77777777" w:rsidR="007177F2" w:rsidRDefault="00000000">
            <w:pPr>
              <w:jc w:val="center"/>
              <w:rPr>
                <w:sz w:val="24"/>
                <w:szCs w:val="24"/>
              </w:rPr>
            </w:pPr>
            <w:r>
              <w:rPr>
                <w:sz w:val="24"/>
                <w:szCs w:val="24"/>
              </w:rPr>
              <w:t xml:space="preserve">  </w:t>
            </w:r>
            <w:r>
              <w:rPr>
                <w:rFonts w:hint="eastAsia"/>
                <w:sz w:val="24"/>
                <w:szCs w:val="24"/>
              </w:rPr>
              <w:t>海上二氧化碳捕集</w:t>
            </w:r>
            <w:r w:rsidRPr="005443A1">
              <w:rPr>
                <w:rFonts w:hint="eastAsia"/>
                <w:sz w:val="24"/>
                <w:szCs w:val="24"/>
              </w:rPr>
              <w:t>、输送及回注系统设计准则</w:t>
            </w:r>
          </w:p>
        </w:tc>
      </w:tr>
      <w:tr w:rsidR="007177F2" w14:paraId="7E6F7FDE" w14:textId="77777777">
        <w:trPr>
          <w:trHeight w:val="605"/>
          <w:jc w:val="center"/>
        </w:trPr>
        <w:tc>
          <w:tcPr>
            <w:tcW w:w="2025" w:type="dxa"/>
            <w:vAlign w:val="center"/>
          </w:tcPr>
          <w:p w14:paraId="443FED91" w14:textId="77777777" w:rsidR="007177F2" w:rsidRDefault="00000000">
            <w:pPr>
              <w:jc w:val="center"/>
              <w:rPr>
                <w:sz w:val="24"/>
              </w:rPr>
            </w:pPr>
            <w:r>
              <w:rPr>
                <w:rFonts w:hint="eastAsia"/>
                <w:sz w:val="24"/>
              </w:rPr>
              <w:t>项目名称</w:t>
            </w:r>
          </w:p>
          <w:p w14:paraId="6389A50C" w14:textId="77777777" w:rsidR="007177F2" w:rsidRDefault="00000000">
            <w:pPr>
              <w:jc w:val="center"/>
              <w:rPr>
                <w:sz w:val="24"/>
              </w:rPr>
            </w:pPr>
            <w:r>
              <w:rPr>
                <w:rFonts w:hint="eastAsia"/>
                <w:sz w:val="24"/>
              </w:rPr>
              <w:t>（英文）</w:t>
            </w:r>
          </w:p>
        </w:tc>
        <w:tc>
          <w:tcPr>
            <w:tcW w:w="7210" w:type="dxa"/>
            <w:gridSpan w:val="6"/>
            <w:vAlign w:val="center"/>
          </w:tcPr>
          <w:p w14:paraId="328DA13D" w14:textId="77777777" w:rsidR="007177F2" w:rsidRDefault="00000000">
            <w:pPr>
              <w:jc w:val="center"/>
              <w:rPr>
                <w:sz w:val="24"/>
                <w:szCs w:val="24"/>
              </w:rPr>
            </w:pPr>
            <w:r>
              <w:rPr>
                <w:sz w:val="24"/>
                <w:szCs w:val="24"/>
              </w:rPr>
              <w:t xml:space="preserve">Design </w:t>
            </w:r>
            <w:r>
              <w:rPr>
                <w:rFonts w:hint="eastAsia"/>
                <w:sz w:val="24"/>
                <w:szCs w:val="24"/>
              </w:rPr>
              <w:t>C</w:t>
            </w:r>
            <w:r>
              <w:rPr>
                <w:sz w:val="24"/>
                <w:szCs w:val="24"/>
              </w:rPr>
              <w:t>riteria of Offshore Carbon Dioxide Capture, Transportation and Rejection System</w:t>
            </w:r>
          </w:p>
        </w:tc>
      </w:tr>
      <w:tr w:rsidR="007177F2" w14:paraId="48282120" w14:textId="77777777">
        <w:trPr>
          <w:trHeight w:val="540"/>
          <w:jc w:val="center"/>
        </w:trPr>
        <w:tc>
          <w:tcPr>
            <w:tcW w:w="2025" w:type="dxa"/>
            <w:vAlign w:val="center"/>
          </w:tcPr>
          <w:p w14:paraId="16895845" w14:textId="77777777" w:rsidR="007177F2" w:rsidRDefault="00000000">
            <w:pPr>
              <w:jc w:val="center"/>
              <w:rPr>
                <w:sz w:val="24"/>
              </w:rPr>
            </w:pPr>
            <w:r>
              <w:rPr>
                <w:rFonts w:hint="eastAsia"/>
                <w:sz w:val="24"/>
              </w:rPr>
              <w:t>制修订</w:t>
            </w:r>
          </w:p>
        </w:tc>
        <w:tc>
          <w:tcPr>
            <w:tcW w:w="2126" w:type="dxa"/>
            <w:vAlign w:val="center"/>
          </w:tcPr>
          <w:p w14:paraId="2E0C02D8" w14:textId="77777777" w:rsidR="007177F2" w:rsidRDefault="00000000">
            <w:pPr>
              <w:jc w:val="center"/>
              <w:rPr>
                <w:sz w:val="24"/>
              </w:rPr>
            </w:pPr>
            <w:r>
              <w:rPr>
                <w:rFonts w:ascii="宋体" w:hAnsi="宋体" w:hint="eastAsia"/>
                <w:sz w:val="24"/>
                <w:szCs w:val="24"/>
              </w:rPr>
              <w:t>■</w:t>
            </w:r>
            <w:r>
              <w:rPr>
                <w:rFonts w:hAnsiTheme="minorEastAsia" w:hint="eastAsia"/>
                <w:sz w:val="24"/>
              </w:rPr>
              <w:t>制定   □修订</w:t>
            </w:r>
          </w:p>
        </w:tc>
        <w:tc>
          <w:tcPr>
            <w:tcW w:w="1701" w:type="dxa"/>
            <w:gridSpan w:val="3"/>
            <w:vAlign w:val="center"/>
          </w:tcPr>
          <w:p w14:paraId="1DD5DFA7" w14:textId="77777777" w:rsidR="007177F2" w:rsidRDefault="00000000">
            <w:pPr>
              <w:jc w:val="center"/>
              <w:rPr>
                <w:sz w:val="24"/>
              </w:rPr>
            </w:pPr>
            <w:r>
              <w:rPr>
                <w:rFonts w:hint="eastAsia"/>
                <w:sz w:val="24"/>
              </w:rPr>
              <w:t>被修订标准号</w:t>
            </w:r>
          </w:p>
        </w:tc>
        <w:tc>
          <w:tcPr>
            <w:tcW w:w="3383" w:type="dxa"/>
            <w:gridSpan w:val="2"/>
            <w:vAlign w:val="center"/>
          </w:tcPr>
          <w:p w14:paraId="30F1D293" w14:textId="77777777" w:rsidR="007177F2" w:rsidRDefault="00000000">
            <w:pPr>
              <w:rPr>
                <w:sz w:val="24"/>
              </w:rPr>
            </w:pPr>
            <w:r>
              <w:rPr>
                <w:rFonts w:hint="eastAsia"/>
                <w:sz w:val="24"/>
              </w:rPr>
              <w:t xml:space="preserve">  </w:t>
            </w:r>
            <w:r>
              <w:rPr>
                <w:rFonts w:hint="eastAsia"/>
                <w:sz w:val="24"/>
                <w:lang w:val="en-US"/>
              </w:rPr>
              <w:t xml:space="preserve">  </w:t>
            </w:r>
            <w:r>
              <w:rPr>
                <w:rFonts w:hint="eastAsia"/>
                <w:sz w:val="24"/>
              </w:rPr>
              <w:t xml:space="preserve"> </w:t>
            </w:r>
          </w:p>
        </w:tc>
      </w:tr>
      <w:tr w:rsidR="007177F2" w14:paraId="406F9636" w14:textId="77777777">
        <w:trPr>
          <w:trHeight w:val="540"/>
          <w:jc w:val="center"/>
        </w:trPr>
        <w:tc>
          <w:tcPr>
            <w:tcW w:w="2025" w:type="dxa"/>
            <w:vAlign w:val="center"/>
          </w:tcPr>
          <w:p w14:paraId="468BACA7" w14:textId="77777777" w:rsidR="007177F2" w:rsidRDefault="00000000">
            <w:pPr>
              <w:jc w:val="center"/>
              <w:rPr>
                <w:sz w:val="24"/>
              </w:rPr>
            </w:pPr>
            <w:r>
              <w:rPr>
                <w:rFonts w:hint="eastAsia"/>
                <w:sz w:val="24"/>
              </w:rPr>
              <w:t>采标编号及名称</w:t>
            </w:r>
          </w:p>
        </w:tc>
        <w:tc>
          <w:tcPr>
            <w:tcW w:w="2126" w:type="dxa"/>
            <w:vAlign w:val="center"/>
          </w:tcPr>
          <w:p w14:paraId="776B6F50" w14:textId="77777777" w:rsidR="007177F2" w:rsidRDefault="007177F2">
            <w:pPr>
              <w:jc w:val="center"/>
              <w:rPr>
                <w:rFonts w:hAnsiTheme="minorEastAsia" w:hint="eastAsia"/>
                <w:sz w:val="24"/>
              </w:rPr>
            </w:pPr>
          </w:p>
        </w:tc>
        <w:tc>
          <w:tcPr>
            <w:tcW w:w="1701" w:type="dxa"/>
            <w:gridSpan w:val="3"/>
            <w:vAlign w:val="center"/>
          </w:tcPr>
          <w:p w14:paraId="6F9A386F" w14:textId="77777777" w:rsidR="007177F2" w:rsidRDefault="00000000">
            <w:pPr>
              <w:jc w:val="center"/>
              <w:rPr>
                <w:sz w:val="24"/>
              </w:rPr>
            </w:pPr>
            <w:r>
              <w:rPr>
                <w:rFonts w:hint="eastAsia"/>
                <w:sz w:val="24"/>
              </w:rPr>
              <w:t>采标形式</w:t>
            </w:r>
          </w:p>
        </w:tc>
        <w:tc>
          <w:tcPr>
            <w:tcW w:w="3383" w:type="dxa"/>
            <w:gridSpan w:val="2"/>
            <w:vAlign w:val="center"/>
          </w:tcPr>
          <w:p w14:paraId="0A73FB94" w14:textId="77777777" w:rsidR="007177F2" w:rsidRDefault="00000000">
            <w:pPr>
              <w:rPr>
                <w:rFonts w:hAnsiTheme="minorEastAsia" w:hint="eastAsia"/>
                <w:sz w:val="24"/>
              </w:rPr>
            </w:pPr>
            <w:r>
              <w:rPr>
                <w:rFonts w:hAnsiTheme="minorEastAsia" w:hint="eastAsia"/>
                <w:sz w:val="24"/>
              </w:rPr>
              <w:t>□等同采用   □修改采用</w:t>
            </w:r>
          </w:p>
          <w:p w14:paraId="1E871CFB" w14:textId="77777777" w:rsidR="007177F2" w:rsidRDefault="00000000">
            <w:pPr>
              <w:rPr>
                <w:sz w:val="24"/>
              </w:rPr>
            </w:pPr>
            <w:r>
              <w:rPr>
                <w:rFonts w:hAnsiTheme="minorEastAsia" w:hint="eastAsia"/>
                <w:sz w:val="24"/>
              </w:rPr>
              <w:t>□非等效采用</w:t>
            </w:r>
          </w:p>
        </w:tc>
      </w:tr>
      <w:tr w:rsidR="007177F2" w14:paraId="41B0880B" w14:textId="77777777">
        <w:trPr>
          <w:trHeight w:val="540"/>
          <w:jc w:val="center"/>
        </w:trPr>
        <w:tc>
          <w:tcPr>
            <w:tcW w:w="2025" w:type="dxa"/>
            <w:vAlign w:val="center"/>
          </w:tcPr>
          <w:p w14:paraId="13E264F8" w14:textId="77777777" w:rsidR="007177F2" w:rsidRDefault="00000000">
            <w:pPr>
              <w:jc w:val="center"/>
              <w:rPr>
                <w:sz w:val="24"/>
              </w:rPr>
            </w:pPr>
            <w:r>
              <w:rPr>
                <w:rFonts w:hint="eastAsia"/>
                <w:sz w:val="24"/>
              </w:rPr>
              <w:t>编制周期</w:t>
            </w:r>
          </w:p>
        </w:tc>
        <w:tc>
          <w:tcPr>
            <w:tcW w:w="7210" w:type="dxa"/>
            <w:gridSpan w:val="6"/>
            <w:vAlign w:val="center"/>
          </w:tcPr>
          <w:p w14:paraId="6F483F47" w14:textId="77777777" w:rsidR="007177F2" w:rsidRDefault="00000000">
            <w:pPr>
              <w:rPr>
                <w:rFonts w:hAnsiTheme="minorEastAsia" w:hint="eastAsia"/>
                <w:sz w:val="24"/>
                <w:u w:val="single"/>
              </w:rPr>
            </w:pPr>
            <w:r>
              <w:rPr>
                <w:rFonts w:ascii="宋体" w:hAnsi="宋体" w:hint="eastAsia"/>
                <w:sz w:val="24"/>
                <w:szCs w:val="24"/>
              </w:rPr>
              <w:t>■</w:t>
            </w:r>
            <w:r>
              <w:rPr>
                <w:rFonts w:hAnsiTheme="minorEastAsia" w:hint="eastAsia"/>
                <w:sz w:val="24"/>
              </w:rPr>
              <w:t>12个月   □18个月   □其他</w:t>
            </w:r>
            <w:r>
              <w:rPr>
                <w:rFonts w:hAnsiTheme="minorEastAsia" w:hint="eastAsia"/>
                <w:sz w:val="24"/>
                <w:u w:val="single"/>
              </w:rPr>
              <w:t xml:space="preserve">         </w:t>
            </w:r>
          </w:p>
        </w:tc>
      </w:tr>
      <w:tr w:rsidR="007177F2" w14:paraId="5CB6E34F" w14:textId="77777777">
        <w:trPr>
          <w:trHeight w:val="548"/>
          <w:jc w:val="center"/>
        </w:trPr>
        <w:tc>
          <w:tcPr>
            <w:tcW w:w="2025" w:type="dxa"/>
            <w:vAlign w:val="center"/>
          </w:tcPr>
          <w:p w14:paraId="2C5FF493" w14:textId="77777777" w:rsidR="007177F2" w:rsidRDefault="00000000">
            <w:pPr>
              <w:jc w:val="center"/>
              <w:rPr>
                <w:sz w:val="24"/>
              </w:rPr>
            </w:pPr>
            <w:r>
              <w:rPr>
                <w:rFonts w:hint="eastAsia"/>
                <w:sz w:val="24"/>
              </w:rPr>
              <w:t>起草单位</w:t>
            </w:r>
          </w:p>
        </w:tc>
        <w:tc>
          <w:tcPr>
            <w:tcW w:w="7210" w:type="dxa"/>
            <w:gridSpan w:val="6"/>
            <w:vAlign w:val="center"/>
          </w:tcPr>
          <w:p w14:paraId="7836786D" w14:textId="77777777" w:rsidR="007177F2" w:rsidRDefault="00000000">
            <w:pPr>
              <w:jc w:val="center"/>
              <w:rPr>
                <w:sz w:val="24"/>
              </w:rPr>
            </w:pPr>
            <w:r>
              <w:rPr>
                <w:rFonts w:hint="eastAsia"/>
                <w:sz w:val="24"/>
                <w:szCs w:val="24"/>
              </w:rPr>
              <w:t>海洋石油工程股份有限公司</w:t>
            </w:r>
          </w:p>
        </w:tc>
      </w:tr>
      <w:tr w:rsidR="007177F2" w14:paraId="02EFBC0B" w14:textId="77777777">
        <w:trPr>
          <w:trHeight w:val="548"/>
          <w:jc w:val="center"/>
        </w:trPr>
        <w:tc>
          <w:tcPr>
            <w:tcW w:w="2025" w:type="dxa"/>
            <w:vAlign w:val="center"/>
          </w:tcPr>
          <w:p w14:paraId="6F3B3553" w14:textId="77777777" w:rsidR="007177F2" w:rsidRDefault="00000000">
            <w:pPr>
              <w:jc w:val="center"/>
              <w:rPr>
                <w:sz w:val="24"/>
              </w:rPr>
            </w:pPr>
            <w:r>
              <w:rPr>
                <w:rFonts w:hint="eastAsia"/>
                <w:sz w:val="24"/>
              </w:rPr>
              <w:t>联系人</w:t>
            </w:r>
          </w:p>
        </w:tc>
        <w:tc>
          <w:tcPr>
            <w:tcW w:w="2126" w:type="dxa"/>
            <w:vAlign w:val="center"/>
          </w:tcPr>
          <w:p w14:paraId="4D799302" w14:textId="77777777" w:rsidR="007177F2" w:rsidRDefault="00000000">
            <w:pPr>
              <w:jc w:val="center"/>
              <w:rPr>
                <w:sz w:val="24"/>
              </w:rPr>
            </w:pPr>
            <w:r>
              <w:rPr>
                <w:rFonts w:hint="eastAsia"/>
                <w:sz w:val="24"/>
                <w:szCs w:val="24"/>
              </w:rPr>
              <w:t>穆家华</w:t>
            </w:r>
          </w:p>
        </w:tc>
        <w:tc>
          <w:tcPr>
            <w:tcW w:w="850" w:type="dxa"/>
            <w:gridSpan w:val="2"/>
            <w:vAlign w:val="center"/>
          </w:tcPr>
          <w:p w14:paraId="4C099642" w14:textId="77777777" w:rsidR="007177F2" w:rsidRDefault="00000000">
            <w:pPr>
              <w:jc w:val="center"/>
              <w:rPr>
                <w:sz w:val="24"/>
              </w:rPr>
            </w:pPr>
            <w:r>
              <w:rPr>
                <w:rFonts w:hint="eastAsia"/>
                <w:sz w:val="24"/>
              </w:rPr>
              <w:t>地址</w:t>
            </w:r>
          </w:p>
        </w:tc>
        <w:tc>
          <w:tcPr>
            <w:tcW w:w="4234" w:type="dxa"/>
            <w:gridSpan w:val="3"/>
            <w:vAlign w:val="center"/>
          </w:tcPr>
          <w:p w14:paraId="26D63659" w14:textId="77777777" w:rsidR="007177F2" w:rsidRDefault="00000000">
            <w:pPr>
              <w:jc w:val="center"/>
              <w:rPr>
                <w:sz w:val="24"/>
              </w:rPr>
            </w:pPr>
            <w:r>
              <w:rPr>
                <w:rFonts w:hint="eastAsia"/>
                <w:sz w:val="24"/>
                <w:szCs w:val="24"/>
              </w:rPr>
              <w:t>天津市滨海新区丹江路1</w:t>
            </w:r>
            <w:r>
              <w:rPr>
                <w:sz w:val="24"/>
                <w:szCs w:val="24"/>
              </w:rPr>
              <w:t>078</w:t>
            </w:r>
            <w:r>
              <w:rPr>
                <w:rFonts w:hint="eastAsia"/>
                <w:sz w:val="24"/>
                <w:szCs w:val="24"/>
              </w:rPr>
              <w:t>号6</w:t>
            </w:r>
            <w:r>
              <w:rPr>
                <w:sz w:val="24"/>
                <w:szCs w:val="24"/>
              </w:rPr>
              <w:t>16</w:t>
            </w:r>
            <w:r>
              <w:rPr>
                <w:rFonts w:hint="eastAsia"/>
                <w:sz w:val="24"/>
                <w:szCs w:val="24"/>
              </w:rPr>
              <w:t>信箱</w:t>
            </w:r>
          </w:p>
        </w:tc>
      </w:tr>
      <w:tr w:rsidR="007177F2" w14:paraId="4C73E0D0" w14:textId="77777777">
        <w:trPr>
          <w:trHeight w:val="548"/>
          <w:jc w:val="center"/>
        </w:trPr>
        <w:tc>
          <w:tcPr>
            <w:tcW w:w="2025" w:type="dxa"/>
            <w:vAlign w:val="center"/>
          </w:tcPr>
          <w:p w14:paraId="420D9EF4" w14:textId="77777777" w:rsidR="007177F2" w:rsidRDefault="00000000">
            <w:pPr>
              <w:jc w:val="center"/>
              <w:rPr>
                <w:sz w:val="24"/>
              </w:rPr>
            </w:pPr>
            <w:r>
              <w:rPr>
                <w:rFonts w:hint="eastAsia"/>
                <w:sz w:val="24"/>
              </w:rPr>
              <w:t>电话</w:t>
            </w:r>
          </w:p>
        </w:tc>
        <w:tc>
          <w:tcPr>
            <w:tcW w:w="2126" w:type="dxa"/>
            <w:vAlign w:val="center"/>
          </w:tcPr>
          <w:p w14:paraId="1F97CFE3" w14:textId="77777777" w:rsidR="007177F2" w:rsidRDefault="00000000">
            <w:pPr>
              <w:jc w:val="center"/>
              <w:rPr>
                <w:sz w:val="24"/>
              </w:rPr>
            </w:pPr>
            <w:r>
              <w:rPr>
                <w:rFonts w:hint="eastAsia"/>
                <w:sz w:val="24"/>
                <w:szCs w:val="24"/>
              </w:rPr>
              <w:t>0</w:t>
            </w:r>
            <w:r>
              <w:rPr>
                <w:sz w:val="24"/>
                <w:szCs w:val="24"/>
              </w:rPr>
              <w:t>22-58023046</w:t>
            </w:r>
          </w:p>
        </w:tc>
        <w:tc>
          <w:tcPr>
            <w:tcW w:w="850" w:type="dxa"/>
            <w:gridSpan w:val="2"/>
            <w:vAlign w:val="center"/>
          </w:tcPr>
          <w:p w14:paraId="1E0EE865" w14:textId="77777777" w:rsidR="007177F2" w:rsidRDefault="00000000">
            <w:pPr>
              <w:jc w:val="center"/>
              <w:rPr>
                <w:sz w:val="24"/>
              </w:rPr>
            </w:pPr>
            <w:r>
              <w:rPr>
                <w:rFonts w:hint="eastAsia"/>
                <w:sz w:val="24"/>
              </w:rPr>
              <w:t>邮箱</w:t>
            </w:r>
          </w:p>
        </w:tc>
        <w:tc>
          <w:tcPr>
            <w:tcW w:w="4234" w:type="dxa"/>
            <w:gridSpan w:val="3"/>
            <w:vAlign w:val="center"/>
          </w:tcPr>
          <w:p w14:paraId="3CF6359F" w14:textId="77777777" w:rsidR="007177F2" w:rsidRDefault="00000000">
            <w:pPr>
              <w:jc w:val="center"/>
              <w:rPr>
                <w:sz w:val="24"/>
              </w:rPr>
            </w:pPr>
            <w:r>
              <w:rPr>
                <w:sz w:val="24"/>
                <w:szCs w:val="24"/>
              </w:rPr>
              <w:t>m</w:t>
            </w:r>
            <w:r>
              <w:rPr>
                <w:rFonts w:hint="eastAsia"/>
                <w:sz w:val="24"/>
                <w:szCs w:val="24"/>
              </w:rPr>
              <w:t>ujh</w:t>
            </w:r>
            <w:r>
              <w:rPr>
                <w:sz w:val="24"/>
                <w:szCs w:val="24"/>
              </w:rPr>
              <w:t>2@</w:t>
            </w:r>
            <w:r>
              <w:rPr>
                <w:rFonts w:hint="eastAsia"/>
                <w:sz w:val="24"/>
                <w:szCs w:val="24"/>
              </w:rPr>
              <w:t>cnooc.</w:t>
            </w:r>
            <w:r>
              <w:rPr>
                <w:sz w:val="24"/>
                <w:szCs w:val="24"/>
              </w:rPr>
              <w:t>com.cn</w:t>
            </w:r>
          </w:p>
        </w:tc>
      </w:tr>
      <w:tr w:rsidR="007177F2" w14:paraId="3307AE29" w14:textId="77777777">
        <w:trPr>
          <w:trHeight w:val="1102"/>
          <w:jc w:val="center"/>
        </w:trPr>
        <w:tc>
          <w:tcPr>
            <w:tcW w:w="2025" w:type="dxa"/>
            <w:vAlign w:val="center"/>
          </w:tcPr>
          <w:p w14:paraId="1484736B" w14:textId="77777777" w:rsidR="007177F2" w:rsidRDefault="00000000">
            <w:pPr>
              <w:jc w:val="center"/>
              <w:rPr>
                <w:sz w:val="24"/>
              </w:rPr>
            </w:pPr>
            <w:r>
              <w:rPr>
                <w:rFonts w:hint="eastAsia"/>
                <w:sz w:val="24"/>
              </w:rPr>
              <w:t>项目任务的</w:t>
            </w:r>
          </w:p>
          <w:p w14:paraId="384C79E8" w14:textId="77777777" w:rsidR="007177F2" w:rsidRDefault="00000000">
            <w:pPr>
              <w:jc w:val="center"/>
              <w:rPr>
                <w:sz w:val="24"/>
              </w:rPr>
            </w:pPr>
            <w:r>
              <w:rPr>
                <w:rFonts w:hint="eastAsia"/>
                <w:sz w:val="24"/>
              </w:rPr>
              <w:t>意义和必要性</w:t>
            </w:r>
          </w:p>
        </w:tc>
        <w:tc>
          <w:tcPr>
            <w:tcW w:w="7210" w:type="dxa"/>
            <w:gridSpan w:val="6"/>
          </w:tcPr>
          <w:p w14:paraId="68ED8F4C" w14:textId="77777777" w:rsidR="007177F2" w:rsidRDefault="00000000">
            <w:pPr>
              <w:pStyle w:val="af"/>
              <w:rPr>
                <w:rFonts w:ascii="Arial" w:hAnsi="Arial" w:cs="Arial"/>
              </w:rPr>
            </w:pPr>
            <w:r>
              <w:rPr>
                <w:rFonts w:ascii="Arial" w:hAnsi="Arial" w:cs="Arial" w:hint="eastAsia"/>
              </w:rPr>
              <w:t>含二氧化碳油气田日益增多，且二氧化碳含量越来越高。高含二氧化碳气体气质不能满足燃气用户需求，需要脱碳，同时将脱除的二氧化碳回注封存避免污染。</w:t>
            </w:r>
          </w:p>
          <w:p w14:paraId="7C9F4487" w14:textId="77777777" w:rsidR="007177F2" w:rsidRDefault="00000000">
            <w:pPr>
              <w:pStyle w:val="af"/>
              <w:rPr>
                <w:rFonts w:ascii="Arial" w:hAnsi="Arial" w:cs="Arial"/>
              </w:rPr>
            </w:pPr>
            <w:r>
              <w:rPr>
                <w:rFonts w:ascii="Arial" w:hAnsi="Arial" w:cs="Arial" w:hint="eastAsia"/>
              </w:rPr>
              <w:t>海上二氧化碳封存相对于陆地封存，具有明显的优势：</w:t>
            </w:r>
          </w:p>
          <w:p w14:paraId="0514DACB" w14:textId="77777777" w:rsidR="007177F2" w:rsidRDefault="00000000">
            <w:pPr>
              <w:pStyle w:val="af"/>
              <w:numPr>
                <w:ilvl w:val="0"/>
                <w:numId w:val="1"/>
              </w:numPr>
              <w:ind w:firstLineChars="0"/>
              <w:rPr>
                <w:rFonts w:ascii="Arial" w:hAnsi="Arial" w:cs="Arial"/>
              </w:rPr>
            </w:pPr>
            <w:r>
              <w:rPr>
                <w:rFonts w:ascii="Arial" w:hAnsi="Arial" w:cs="Arial" w:hint="eastAsia"/>
              </w:rPr>
              <w:t>零征地；</w:t>
            </w:r>
          </w:p>
          <w:p w14:paraId="0C1A5905" w14:textId="77777777" w:rsidR="007177F2" w:rsidRDefault="00000000">
            <w:pPr>
              <w:pStyle w:val="af"/>
              <w:numPr>
                <w:ilvl w:val="0"/>
                <w:numId w:val="1"/>
              </w:numPr>
              <w:ind w:firstLineChars="0"/>
              <w:rPr>
                <w:rFonts w:ascii="Arial" w:hAnsi="Arial" w:cs="Arial"/>
              </w:rPr>
            </w:pPr>
            <w:r>
              <w:rPr>
                <w:rFonts w:ascii="Arial" w:hAnsi="Arial" w:cs="Arial" w:hint="eastAsia"/>
              </w:rPr>
              <w:t>安全性高</w:t>
            </w:r>
            <w:r>
              <w:rPr>
                <w:rFonts w:ascii="Arial" w:hAnsi="Arial" w:cs="Arial" w:hint="eastAsia"/>
              </w:rPr>
              <w:t xml:space="preserve"> </w:t>
            </w:r>
            <w:r>
              <w:rPr>
                <w:rFonts w:ascii="Arial" w:hAnsi="Arial" w:cs="Arial"/>
              </w:rPr>
              <w:t xml:space="preserve"> </w:t>
            </w:r>
            <w:r>
              <w:rPr>
                <w:rFonts w:ascii="Arial" w:hAnsi="Arial" w:cs="Arial" w:hint="eastAsia"/>
              </w:rPr>
              <w:t>海域操作影响范围小，对人类居住环境基本无影响，可降低陆地封存可能造成的泄漏危害。</w:t>
            </w:r>
          </w:p>
          <w:p w14:paraId="69D5BBED" w14:textId="77777777" w:rsidR="007177F2" w:rsidRDefault="00000000">
            <w:pPr>
              <w:pStyle w:val="af"/>
              <w:numPr>
                <w:ilvl w:val="0"/>
                <w:numId w:val="1"/>
              </w:numPr>
              <w:ind w:firstLineChars="0"/>
              <w:rPr>
                <w:rFonts w:ascii="Arial" w:hAnsi="Arial" w:cs="Arial"/>
              </w:rPr>
            </w:pPr>
            <w:r>
              <w:rPr>
                <w:rFonts w:ascii="Arial" w:hAnsi="Arial" w:cs="Arial" w:hint="eastAsia"/>
              </w:rPr>
              <w:t>环境影响小</w:t>
            </w:r>
            <w:r>
              <w:rPr>
                <w:rFonts w:ascii="Arial" w:hAnsi="Arial" w:cs="Arial" w:hint="eastAsia"/>
              </w:rPr>
              <w:t xml:space="preserve"> </w:t>
            </w:r>
            <w:r>
              <w:rPr>
                <w:rFonts w:ascii="Arial" w:hAnsi="Arial" w:cs="Arial"/>
              </w:rPr>
              <w:t xml:space="preserve"> </w:t>
            </w:r>
            <w:r>
              <w:rPr>
                <w:rFonts w:ascii="Arial" w:hAnsi="Arial" w:cs="Arial" w:hint="eastAsia"/>
              </w:rPr>
              <w:t>海底没有经济意义上的淡水层，不影响地下水、饮用水；</w:t>
            </w:r>
          </w:p>
          <w:p w14:paraId="47976C42" w14:textId="77777777" w:rsidR="007177F2" w:rsidRDefault="00000000">
            <w:pPr>
              <w:pStyle w:val="af"/>
              <w:numPr>
                <w:ilvl w:val="0"/>
                <w:numId w:val="1"/>
              </w:numPr>
              <w:ind w:firstLineChars="0"/>
              <w:rPr>
                <w:rFonts w:ascii="Arial" w:hAnsi="Arial" w:cs="Arial"/>
              </w:rPr>
            </w:pPr>
            <w:r>
              <w:rPr>
                <w:rFonts w:ascii="Arial" w:hAnsi="Arial" w:cs="Arial" w:hint="eastAsia"/>
              </w:rPr>
              <w:t>封存规模大</w:t>
            </w:r>
            <w:r>
              <w:rPr>
                <w:rFonts w:ascii="Arial" w:hAnsi="Arial" w:cs="Arial" w:hint="eastAsia"/>
              </w:rPr>
              <w:t xml:space="preserve"> </w:t>
            </w:r>
            <w:r>
              <w:rPr>
                <w:rFonts w:ascii="Arial" w:hAnsi="Arial" w:cs="Arial"/>
              </w:rPr>
              <w:t xml:space="preserve"> </w:t>
            </w:r>
            <w:r>
              <w:rPr>
                <w:rFonts w:ascii="Arial" w:hAnsi="Arial" w:cs="Arial" w:hint="eastAsia"/>
              </w:rPr>
              <w:t>沉积盆地面积大，沉积层厚，以南海珠江口盆地为例，封存潜力规模超过</w:t>
            </w:r>
            <w:r>
              <w:rPr>
                <w:rFonts w:ascii="Arial" w:hAnsi="Arial" w:cs="Arial" w:hint="eastAsia"/>
              </w:rPr>
              <w:t>3080</w:t>
            </w:r>
            <w:r>
              <w:rPr>
                <w:rFonts w:ascii="Arial" w:hAnsi="Arial" w:cs="Arial" w:hint="eastAsia"/>
              </w:rPr>
              <w:t>亿吨，有利于沿海工业大规模</w:t>
            </w:r>
            <w:r>
              <w:rPr>
                <w:rFonts w:ascii="Arial" w:hAnsi="Arial" w:cs="Arial" w:hint="eastAsia"/>
              </w:rPr>
              <w:t>CO</w:t>
            </w:r>
            <w:r>
              <w:rPr>
                <w:rFonts w:ascii="Arial" w:hAnsi="Arial" w:cs="Arial" w:hint="eastAsia"/>
                <w:vertAlign w:val="subscript"/>
              </w:rPr>
              <w:t>2</w:t>
            </w:r>
            <w:r>
              <w:rPr>
                <w:rFonts w:ascii="Arial" w:hAnsi="Arial" w:cs="Arial" w:hint="eastAsia"/>
              </w:rPr>
              <w:t>封存减排。</w:t>
            </w:r>
          </w:p>
          <w:p w14:paraId="1720EECE" w14:textId="77777777" w:rsidR="007177F2" w:rsidRDefault="00000000">
            <w:pPr>
              <w:pStyle w:val="ae"/>
              <w:numPr>
                <w:ilvl w:val="0"/>
                <w:numId w:val="1"/>
              </w:numPr>
              <w:ind w:firstLineChars="0"/>
              <w:rPr>
                <w:rFonts w:ascii="Arial" w:hAnsi="Arial" w:cs="Arial"/>
              </w:rPr>
            </w:pPr>
            <w:r>
              <w:rPr>
                <w:rFonts w:ascii="Arial" w:hAnsi="Arial" w:cs="Arial" w:hint="eastAsia"/>
                <w:szCs w:val="20"/>
              </w:rPr>
              <w:t>地质条件和工程条件等认识较为成熟；</w:t>
            </w:r>
          </w:p>
          <w:p w14:paraId="65760B9B" w14:textId="77777777" w:rsidR="007177F2" w:rsidRDefault="00000000">
            <w:pPr>
              <w:pStyle w:val="af"/>
              <w:rPr>
                <w:rFonts w:ascii="Arial" w:hAnsi="Arial" w:cs="Arial"/>
              </w:rPr>
            </w:pPr>
            <w:r>
              <w:rPr>
                <w:rFonts w:ascii="Arial" w:hAnsi="Arial" w:cs="Arial" w:hint="eastAsia"/>
              </w:rPr>
              <w:t>为助力“碳达峰、碳中和”目标的实现，亟需编制一套完整的海上二氧化碳捕集及回注封存系统设计标准，指导海上油气田脱碳和回注：</w:t>
            </w:r>
          </w:p>
          <w:p w14:paraId="7CA8310A" w14:textId="77777777" w:rsidR="007177F2" w:rsidRDefault="00000000">
            <w:pPr>
              <w:pStyle w:val="af"/>
              <w:numPr>
                <w:ilvl w:val="0"/>
                <w:numId w:val="2"/>
              </w:numPr>
              <w:ind w:firstLineChars="0"/>
              <w:rPr>
                <w:rFonts w:ascii="Arial" w:hAnsi="Arial" w:cs="Arial"/>
              </w:rPr>
            </w:pPr>
            <w:r>
              <w:rPr>
                <w:rFonts w:ascii="Arial" w:hAnsi="Arial" w:cs="Arial" w:hint="eastAsia"/>
              </w:rPr>
              <w:t>对于海上生产设施，特别是深水油气田距离陆地远，长距离输送成本太高，只能在海上完成二氧化碳的捕集、增压、超临界输送及回注封存，且因浮式平台尺寸及重量受限，碳捕集及增压回注系统应具备占地小、安全标准严、工艺简单、开发成本低等特点。</w:t>
            </w:r>
          </w:p>
          <w:p w14:paraId="5B6E56E0" w14:textId="77777777" w:rsidR="007177F2" w:rsidRDefault="00000000">
            <w:pPr>
              <w:pStyle w:val="af"/>
              <w:numPr>
                <w:ilvl w:val="0"/>
                <w:numId w:val="2"/>
              </w:numPr>
              <w:ind w:firstLineChars="0"/>
              <w:rPr>
                <w:rFonts w:ascii="Arial" w:hAnsi="Arial" w:cs="Arial"/>
              </w:rPr>
            </w:pPr>
            <w:r>
              <w:rPr>
                <w:rFonts w:ascii="Arial" w:hAnsi="Arial" w:cs="Arial" w:hint="eastAsia"/>
              </w:rPr>
              <w:t>超临界输送可有效地降低</w:t>
            </w:r>
            <w:proofErr w:type="gramStart"/>
            <w:r>
              <w:rPr>
                <w:rFonts w:ascii="Arial" w:hAnsi="Arial" w:cs="Arial" w:hint="eastAsia"/>
              </w:rPr>
              <w:t>深水海管</w:t>
            </w:r>
            <w:proofErr w:type="gramEnd"/>
            <w:r>
              <w:rPr>
                <w:rFonts w:ascii="Arial" w:hAnsi="Arial" w:cs="Arial" w:hint="eastAsia"/>
              </w:rPr>
              <w:t>尺寸，节省管道成本及降低施工难度，且深水管道预调试要求干燥指标极高，陆地易实现，针对深水管道，宜采用无水无压等调试方法。</w:t>
            </w:r>
          </w:p>
        </w:tc>
      </w:tr>
      <w:tr w:rsidR="007177F2" w14:paraId="519C53E8" w14:textId="77777777">
        <w:trPr>
          <w:trHeight w:val="581"/>
          <w:jc w:val="center"/>
        </w:trPr>
        <w:tc>
          <w:tcPr>
            <w:tcW w:w="2025" w:type="dxa"/>
            <w:vAlign w:val="center"/>
          </w:tcPr>
          <w:p w14:paraId="48B12C1E" w14:textId="77777777" w:rsidR="007177F2" w:rsidRDefault="00000000">
            <w:pPr>
              <w:jc w:val="center"/>
              <w:rPr>
                <w:sz w:val="24"/>
              </w:rPr>
            </w:pPr>
            <w:r>
              <w:rPr>
                <w:rFonts w:hint="eastAsia"/>
                <w:sz w:val="24"/>
              </w:rPr>
              <w:t>标准适用范围</w:t>
            </w:r>
          </w:p>
          <w:p w14:paraId="4FF650D7" w14:textId="77777777" w:rsidR="007177F2" w:rsidRDefault="00000000">
            <w:pPr>
              <w:jc w:val="center"/>
              <w:rPr>
                <w:sz w:val="24"/>
              </w:rPr>
            </w:pPr>
            <w:r>
              <w:rPr>
                <w:rFonts w:hint="eastAsia"/>
                <w:sz w:val="24"/>
              </w:rPr>
              <w:t>和主要技术内容</w:t>
            </w:r>
          </w:p>
        </w:tc>
        <w:tc>
          <w:tcPr>
            <w:tcW w:w="7210" w:type="dxa"/>
            <w:gridSpan w:val="6"/>
          </w:tcPr>
          <w:p w14:paraId="37882F0F" w14:textId="77777777" w:rsidR="007177F2" w:rsidRDefault="00000000">
            <w:pPr>
              <w:pStyle w:val="af"/>
              <w:rPr>
                <w:rFonts w:ascii="Arial" w:hAnsi="Arial" w:cs="Arial"/>
              </w:rPr>
            </w:pPr>
            <w:r>
              <w:rPr>
                <w:rFonts w:ascii="Arial" w:hAnsi="Arial" w:cs="Arial" w:hint="eastAsia"/>
              </w:rPr>
              <w:t>适用范围：</w:t>
            </w:r>
            <w:r>
              <w:rPr>
                <w:rFonts w:ascii="Arial" w:hAnsi="Arial" w:cs="Arial"/>
              </w:rPr>
              <w:t>主要适用于</w:t>
            </w:r>
            <w:r>
              <w:rPr>
                <w:rFonts w:ascii="Arial" w:hAnsi="Arial" w:cs="Arial" w:hint="eastAsia"/>
              </w:rPr>
              <w:t>海上生产设施天然气或伴生气中二氧化碳捕集、输送及回注系统的设计。</w:t>
            </w:r>
          </w:p>
          <w:p w14:paraId="7E821BF3" w14:textId="77777777" w:rsidR="007177F2" w:rsidRDefault="00000000">
            <w:pPr>
              <w:pStyle w:val="af"/>
              <w:rPr>
                <w:rFonts w:ascii="Arial" w:hAnsi="Arial" w:cs="Arial"/>
              </w:rPr>
            </w:pPr>
            <w:r>
              <w:rPr>
                <w:rFonts w:ascii="Arial" w:hAnsi="Arial" w:cs="Arial" w:hint="eastAsia"/>
              </w:rPr>
              <w:t>主要技术内容：</w:t>
            </w:r>
          </w:p>
          <w:p w14:paraId="607740BF" w14:textId="77777777" w:rsidR="007177F2" w:rsidRDefault="00000000">
            <w:pPr>
              <w:pStyle w:val="af"/>
              <w:numPr>
                <w:ilvl w:val="0"/>
                <w:numId w:val="3"/>
              </w:numPr>
              <w:rPr>
                <w:rFonts w:ascii="Arial" w:hAnsi="Arial" w:cs="Arial"/>
              </w:rPr>
            </w:pPr>
            <w:r>
              <w:rPr>
                <w:rFonts w:hint="eastAsia"/>
              </w:rPr>
              <w:t>二氧化碳捕集系统设计方法</w:t>
            </w:r>
            <w:r>
              <w:rPr>
                <w:rFonts w:ascii="Arial" w:hAnsi="Arial" w:cs="Arial" w:hint="eastAsia"/>
              </w:rPr>
              <w:t>，包括</w:t>
            </w:r>
            <w:proofErr w:type="gramStart"/>
            <w:r>
              <w:rPr>
                <w:rFonts w:ascii="Arial" w:hAnsi="Arial" w:cs="Arial" w:hint="eastAsia"/>
              </w:rPr>
              <w:t>醇胺法脱碳</w:t>
            </w:r>
            <w:proofErr w:type="gramEnd"/>
            <w:r>
              <w:rPr>
                <w:rFonts w:ascii="Arial" w:hAnsi="Arial" w:cs="Arial" w:hint="eastAsia"/>
              </w:rPr>
              <w:t>、膜法脱碳、脱水工艺等；</w:t>
            </w:r>
          </w:p>
          <w:p w14:paraId="59FBC8CF" w14:textId="77777777" w:rsidR="007177F2" w:rsidRDefault="00000000">
            <w:pPr>
              <w:pStyle w:val="ae"/>
              <w:numPr>
                <w:ilvl w:val="0"/>
                <w:numId w:val="3"/>
              </w:numPr>
              <w:ind w:firstLineChars="0"/>
              <w:rPr>
                <w:rFonts w:ascii="Arial" w:eastAsia="宋体" w:hAnsi="Arial" w:cs="Arial"/>
                <w:snapToGrid/>
                <w:szCs w:val="20"/>
                <w:lang w:val="en-US"/>
              </w:rPr>
            </w:pPr>
            <w:r>
              <w:rPr>
                <w:rFonts w:ascii="Arial" w:eastAsia="宋体" w:hAnsi="Arial" w:cs="Arial" w:hint="eastAsia"/>
                <w:snapToGrid/>
                <w:szCs w:val="20"/>
                <w:lang w:val="en-US"/>
              </w:rPr>
              <w:lastRenderedPageBreak/>
              <w:t>二氧化碳增压回注系统设计方法，包括增压回注技术要求及</w:t>
            </w:r>
            <w:r>
              <w:rPr>
                <w:rFonts w:ascii="Arial" w:hAnsi="Arial" w:cs="Arial" w:hint="eastAsia"/>
              </w:rPr>
              <w:t>放空工艺设计方法；</w:t>
            </w:r>
          </w:p>
          <w:p w14:paraId="2B539CD8" w14:textId="77777777" w:rsidR="007177F2" w:rsidRDefault="00000000">
            <w:pPr>
              <w:pStyle w:val="af"/>
              <w:numPr>
                <w:ilvl w:val="0"/>
                <w:numId w:val="3"/>
              </w:numPr>
              <w:rPr>
                <w:sz w:val="24"/>
                <w:lang w:val="en-GB"/>
              </w:rPr>
            </w:pPr>
            <w:r>
              <w:rPr>
                <w:rFonts w:ascii="Arial" w:hAnsi="Arial" w:cs="Arial" w:hint="eastAsia"/>
              </w:rPr>
              <w:t>二氧化碳管道输送设计方法；</w:t>
            </w:r>
          </w:p>
        </w:tc>
      </w:tr>
      <w:tr w:rsidR="007177F2" w14:paraId="7678430C" w14:textId="77777777">
        <w:trPr>
          <w:trHeight w:val="834"/>
          <w:jc w:val="center"/>
        </w:trPr>
        <w:tc>
          <w:tcPr>
            <w:tcW w:w="2025" w:type="dxa"/>
            <w:vAlign w:val="center"/>
          </w:tcPr>
          <w:p w14:paraId="754BD9CC" w14:textId="77777777" w:rsidR="007177F2" w:rsidRDefault="00000000">
            <w:pPr>
              <w:widowControl/>
              <w:jc w:val="center"/>
              <w:rPr>
                <w:rFonts w:ascii="宋体" w:hAnsi="宋体" w:hint="eastAsia"/>
                <w:sz w:val="24"/>
              </w:rPr>
            </w:pPr>
            <w:r>
              <w:rPr>
                <w:rFonts w:ascii="宋体" w:hAnsi="宋体" w:hint="eastAsia"/>
                <w:sz w:val="24"/>
              </w:rPr>
              <w:lastRenderedPageBreak/>
              <w:t>国内外情况简要说明</w:t>
            </w:r>
          </w:p>
        </w:tc>
        <w:tc>
          <w:tcPr>
            <w:tcW w:w="7210" w:type="dxa"/>
            <w:gridSpan w:val="6"/>
          </w:tcPr>
          <w:p w14:paraId="79EF643D" w14:textId="77777777" w:rsidR="007177F2" w:rsidRDefault="00000000">
            <w:pPr>
              <w:pStyle w:val="af"/>
              <w:rPr>
                <w:rFonts w:ascii="Arial" w:hAnsi="Arial" w:cs="Arial"/>
              </w:rPr>
            </w:pPr>
            <w:r>
              <w:rPr>
                <w:rFonts w:ascii="Arial" w:hAnsi="Arial" w:cs="Arial" w:hint="eastAsia"/>
              </w:rPr>
              <w:t>该技术领域相关的国际标准和规范有</w:t>
            </w:r>
            <w:r>
              <w:rPr>
                <w:rFonts w:ascii="Arial" w:hAnsi="Arial" w:cs="Arial"/>
              </w:rPr>
              <w:t>ISO/TR 27912</w:t>
            </w:r>
            <w:r>
              <w:rPr>
                <w:rFonts w:ascii="Arial" w:hAnsi="Arial" w:cs="Arial" w:hint="eastAsia"/>
              </w:rPr>
              <w:t>和</w:t>
            </w:r>
            <w:r>
              <w:rPr>
                <w:rFonts w:ascii="Arial" w:hAnsi="Arial" w:cs="Arial"/>
              </w:rPr>
              <w:t>ISO 27913</w:t>
            </w:r>
            <w:r>
              <w:rPr>
                <w:rFonts w:ascii="Arial" w:hAnsi="Arial" w:cs="Arial" w:hint="eastAsia"/>
              </w:rPr>
              <w:t>等，主要涵盖适用于</w:t>
            </w:r>
            <w:r>
              <w:rPr>
                <w:rFonts w:ascii="Arial" w:hAnsi="Arial" w:cs="Arial"/>
              </w:rPr>
              <w:t>CO</w:t>
            </w:r>
            <w:r>
              <w:rPr>
                <w:rFonts w:ascii="Arial" w:hAnsi="Arial" w:cs="Arial"/>
                <w:vertAlign w:val="subscript"/>
              </w:rPr>
              <w:t>2</w:t>
            </w:r>
            <w:r>
              <w:rPr>
                <w:rFonts w:ascii="Arial" w:hAnsi="Arial" w:cs="Arial" w:hint="eastAsia"/>
              </w:rPr>
              <w:t>排放</w:t>
            </w:r>
            <w:proofErr w:type="gramStart"/>
            <w:r>
              <w:rPr>
                <w:rFonts w:ascii="Arial" w:hAnsi="Arial" w:cs="Arial" w:hint="eastAsia"/>
              </w:rPr>
              <w:t>源及其</w:t>
            </w:r>
            <w:proofErr w:type="gramEnd"/>
            <w:r>
              <w:rPr>
                <w:rFonts w:ascii="Arial" w:hAnsi="Arial" w:cs="Arial" w:hint="eastAsia"/>
              </w:rPr>
              <w:t>各自边界的</w:t>
            </w:r>
            <w:r>
              <w:rPr>
                <w:rFonts w:ascii="Arial" w:hAnsi="Arial" w:cs="Arial"/>
              </w:rPr>
              <w:t>CO</w:t>
            </w:r>
            <w:r>
              <w:rPr>
                <w:rFonts w:ascii="Arial" w:hAnsi="Arial" w:cs="Arial"/>
                <w:vertAlign w:val="subscript"/>
              </w:rPr>
              <w:t>2</w:t>
            </w:r>
            <w:r>
              <w:rPr>
                <w:rFonts w:ascii="Arial" w:hAnsi="Arial" w:cs="Arial" w:hint="eastAsia"/>
              </w:rPr>
              <w:t>捕集系统，以及捕集技术、设备和工艺，缺少对系统设计的具体指导；</w:t>
            </w:r>
          </w:p>
          <w:p w14:paraId="6FE55F2F" w14:textId="77777777" w:rsidR="007177F2" w:rsidRDefault="00000000">
            <w:pPr>
              <w:pStyle w:val="af"/>
              <w:rPr>
                <w:rFonts w:ascii="Arial" w:hAnsi="Arial" w:cs="Arial"/>
              </w:rPr>
            </w:pPr>
            <w:r>
              <w:rPr>
                <w:rFonts w:ascii="Arial" w:hAnsi="Arial" w:cs="Arial" w:hint="eastAsia"/>
              </w:rPr>
              <w:t>该技术领域相关的国内标准有</w:t>
            </w:r>
            <w:r>
              <w:rPr>
                <w:rFonts w:ascii="Arial" w:hAnsi="Arial" w:cs="Arial"/>
              </w:rPr>
              <w:t>GB/T42797</w:t>
            </w:r>
            <w:r>
              <w:rPr>
                <w:rFonts w:ascii="Arial" w:hAnsi="Arial" w:cs="Arial" w:hint="eastAsia"/>
              </w:rPr>
              <w:t>、</w:t>
            </w:r>
            <w:r>
              <w:rPr>
                <w:rFonts w:ascii="Arial" w:hAnsi="Arial" w:cs="Arial"/>
              </w:rPr>
              <w:t>GB/T51316</w:t>
            </w:r>
            <w:r>
              <w:rPr>
                <w:rFonts w:ascii="Arial" w:hAnsi="Arial" w:cs="Arial" w:hint="eastAsia"/>
              </w:rPr>
              <w:t>、</w:t>
            </w:r>
            <w:r>
              <w:rPr>
                <w:rFonts w:ascii="Arial" w:hAnsi="Arial" w:cs="Arial"/>
              </w:rPr>
              <w:t>SH/T3202</w:t>
            </w:r>
            <w:r>
              <w:rPr>
                <w:rFonts w:ascii="Arial" w:hAnsi="Arial" w:cs="Arial" w:hint="eastAsia"/>
              </w:rPr>
              <w:t>等，主要从陆地烟气二氧化碳捕集和陆地二氧化碳超临界输送等方面做了技术要求；</w:t>
            </w:r>
          </w:p>
          <w:p w14:paraId="4D8184FC" w14:textId="77777777" w:rsidR="007177F2" w:rsidRDefault="00000000">
            <w:pPr>
              <w:pStyle w:val="af"/>
              <w:rPr>
                <w:rFonts w:ascii="Arial" w:hAnsi="Arial" w:cs="Arial"/>
              </w:rPr>
            </w:pPr>
            <w:r>
              <w:rPr>
                <w:rFonts w:ascii="Arial" w:hAnsi="Arial" w:cs="Arial" w:hint="eastAsia"/>
              </w:rPr>
              <w:t>以上这些标准和规范，均没有海上二氧化碳捕集、增压及输送系统设计做出技术要求，导致海上各个项目设计方法不尽相同，缺乏统一做法和原则。</w:t>
            </w:r>
          </w:p>
          <w:p w14:paraId="7CD79B93" w14:textId="77777777" w:rsidR="007177F2" w:rsidRDefault="00000000">
            <w:pPr>
              <w:ind w:firstLineChars="200" w:firstLine="420"/>
              <w:rPr>
                <w:rFonts w:ascii="黑体" w:eastAsia="黑体" w:hAnsi="宋体" w:hint="eastAsia"/>
                <w:color w:val="000000"/>
                <w:sz w:val="24"/>
              </w:rPr>
            </w:pPr>
            <w:r>
              <w:rPr>
                <w:rFonts w:ascii="Arial" w:hAnsi="Arial" w:cs="Arial" w:hint="eastAsia"/>
              </w:rPr>
              <w:t>本标准编制还查阅并参考了</w:t>
            </w:r>
            <w:r>
              <w:rPr>
                <w:rFonts w:ascii="Arial" w:hAnsi="Arial" w:cs="Arial"/>
              </w:rPr>
              <w:t>SY/T 0076</w:t>
            </w:r>
            <w:r>
              <w:rPr>
                <w:rFonts w:ascii="Arial" w:hAnsi="Arial" w:cs="Arial" w:hint="eastAsia"/>
              </w:rPr>
              <w:t>、</w:t>
            </w:r>
            <w:r>
              <w:rPr>
                <w:rFonts w:ascii="Arial" w:hAnsi="Arial" w:cs="Arial"/>
              </w:rPr>
              <w:t>API610</w:t>
            </w:r>
            <w:r>
              <w:rPr>
                <w:rFonts w:ascii="Arial" w:hAnsi="Arial" w:cs="Arial" w:hint="eastAsia"/>
              </w:rPr>
              <w:t>、</w:t>
            </w:r>
            <w:r>
              <w:rPr>
                <w:rFonts w:ascii="Arial" w:hAnsi="Arial" w:cs="Arial"/>
              </w:rPr>
              <w:t>API618</w:t>
            </w:r>
            <w:r>
              <w:rPr>
                <w:rFonts w:ascii="Arial" w:hAnsi="Arial" w:cs="Arial" w:hint="eastAsia"/>
              </w:rPr>
              <w:t>、</w:t>
            </w:r>
            <w:r>
              <w:rPr>
                <w:rFonts w:ascii="Arial" w:hAnsi="Arial" w:cs="Arial"/>
              </w:rPr>
              <w:t xml:space="preserve"> SH/T 3202</w:t>
            </w:r>
            <w:r>
              <w:rPr>
                <w:rFonts w:ascii="Arial" w:hAnsi="Arial" w:cs="Arial" w:hint="eastAsia"/>
              </w:rPr>
              <w:t>、</w:t>
            </w:r>
            <w:r>
              <w:rPr>
                <w:rFonts w:ascii="Arial" w:hAnsi="Arial" w:cs="Arial"/>
              </w:rPr>
              <w:t>NORSOK M-001</w:t>
            </w:r>
            <w:r>
              <w:rPr>
                <w:rFonts w:ascii="Arial" w:hAnsi="Arial" w:cs="Arial" w:hint="eastAsia"/>
              </w:rPr>
              <w:t>、</w:t>
            </w:r>
            <w:r>
              <w:rPr>
                <w:rFonts w:ascii="Arial" w:hAnsi="Arial" w:cs="Arial"/>
              </w:rPr>
              <w:t>DNV-RP-J202</w:t>
            </w:r>
            <w:r>
              <w:rPr>
                <w:rFonts w:ascii="Arial" w:hAnsi="Arial" w:cs="Arial" w:hint="eastAsia"/>
              </w:rPr>
              <w:t>等规范，具有广泛的代表性和先进性。</w:t>
            </w:r>
          </w:p>
        </w:tc>
      </w:tr>
      <w:tr w:rsidR="007177F2" w14:paraId="250A3275" w14:textId="77777777">
        <w:trPr>
          <w:trHeight w:val="834"/>
          <w:jc w:val="center"/>
        </w:trPr>
        <w:tc>
          <w:tcPr>
            <w:tcW w:w="2025" w:type="dxa"/>
            <w:vAlign w:val="center"/>
          </w:tcPr>
          <w:p w14:paraId="7EB10BE1" w14:textId="77777777" w:rsidR="007177F2" w:rsidRDefault="00000000">
            <w:pPr>
              <w:widowControl/>
              <w:jc w:val="center"/>
              <w:rPr>
                <w:rFonts w:ascii="宋体" w:hAnsi="宋体" w:hint="eastAsia"/>
                <w:sz w:val="24"/>
              </w:rPr>
            </w:pPr>
            <w:r>
              <w:rPr>
                <w:rFonts w:ascii="宋体" w:hAnsi="宋体" w:hint="eastAsia"/>
                <w:sz w:val="24"/>
              </w:rPr>
              <w:t>技术基础及</w:t>
            </w:r>
          </w:p>
          <w:p w14:paraId="6921C5ED" w14:textId="77777777" w:rsidR="007177F2" w:rsidRDefault="00000000">
            <w:pPr>
              <w:widowControl/>
              <w:jc w:val="center"/>
              <w:rPr>
                <w:rFonts w:ascii="宋体" w:hAnsi="宋体" w:hint="eastAsia"/>
                <w:sz w:val="24"/>
              </w:rPr>
            </w:pPr>
            <w:r>
              <w:rPr>
                <w:rFonts w:ascii="宋体" w:hAnsi="宋体" w:hint="eastAsia"/>
                <w:sz w:val="24"/>
              </w:rPr>
              <w:t>研究团队</w:t>
            </w:r>
          </w:p>
        </w:tc>
        <w:tc>
          <w:tcPr>
            <w:tcW w:w="7210" w:type="dxa"/>
            <w:gridSpan w:val="6"/>
          </w:tcPr>
          <w:p w14:paraId="1F31B71A" w14:textId="77777777" w:rsidR="007177F2" w:rsidRDefault="00000000">
            <w:pPr>
              <w:ind w:firstLineChars="200" w:firstLine="420"/>
              <w:rPr>
                <w:rFonts w:ascii="Arial" w:hAnsi="Arial" w:cs="Arial"/>
              </w:rPr>
            </w:pPr>
            <w:r>
              <w:rPr>
                <w:rFonts w:ascii="Arial" w:hAnsi="Arial" w:cs="Arial" w:hint="eastAsia"/>
              </w:rPr>
              <w:t>海</w:t>
            </w:r>
            <w:proofErr w:type="gramStart"/>
            <w:r>
              <w:rPr>
                <w:rFonts w:ascii="Arial" w:hAnsi="Arial" w:cs="Arial" w:hint="eastAsia"/>
              </w:rPr>
              <w:t>油工程</w:t>
            </w:r>
            <w:proofErr w:type="gramEnd"/>
            <w:r>
              <w:rPr>
                <w:rFonts w:ascii="Arial" w:hAnsi="Arial" w:cs="Arial" w:hint="eastAsia"/>
              </w:rPr>
              <w:t>先后承揽了珠海天然气液化工程、巴西深水油气田</w:t>
            </w:r>
            <w:r>
              <w:rPr>
                <w:rFonts w:ascii="Arial" w:hAnsi="Arial" w:cs="Arial" w:hint="eastAsia"/>
              </w:rPr>
              <w:t>P67&amp;P70 FPSO</w:t>
            </w:r>
            <w:r>
              <w:rPr>
                <w:rFonts w:ascii="Arial" w:hAnsi="Arial" w:cs="Arial" w:hint="eastAsia"/>
              </w:rPr>
              <w:t>总包项目、恩平</w:t>
            </w:r>
            <w:r>
              <w:rPr>
                <w:rFonts w:ascii="Arial" w:hAnsi="Arial" w:cs="Arial" w:hint="eastAsia"/>
              </w:rPr>
              <w:t>1</w:t>
            </w:r>
            <w:r>
              <w:rPr>
                <w:rFonts w:ascii="Arial" w:hAnsi="Arial" w:cs="Arial"/>
              </w:rPr>
              <w:t>5-1</w:t>
            </w:r>
            <w:r>
              <w:rPr>
                <w:rFonts w:ascii="Arial" w:hAnsi="Arial" w:cs="Arial" w:hint="eastAsia"/>
              </w:rPr>
              <w:t>油田群开发项目和</w:t>
            </w:r>
            <w:proofErr w:type="gramStart"/>
            <w:r>
              <w:rPr>
                <w:rFonts w:ascii="Arial" w:hAnsi="Arial" w:cs="Arial" w:hint="eastAsia"/>
              </w:rPr>
              <w:t>渤</w:t>
            </w:r>
            <w:proofErr w:type="gramEnd"/>
            <w:r>
              <w:rPr>
                <w:rFonts w:ascii="Arial" w:hAnsi="Arial" w:cs="Arial" w:hint="eastAsia"/>
              </w:rPr>
              <w:t>中</w:t>
            </w:r>
            <w:r>
              <w:rPr>
                <w:rFonts w:ascii="Arial" w:hAnsi="Arial" w:cs="Arial" w:hint="eastAsia"/>
              </w:rPr>
              <w:t>19-6</w:t>
            </w:r>
            <w:r>
              <w:rPr>
                <w:rFonts w:ascii="Arial" w:hAnsi="Arial" w:cs="Arial" w:hint="eastAsia"/>
              </w:rPr>
              <w:t>气田</w:t>
            </w:r>
            <w:r>
              <w:rPr>
                <w:rFonts w:ascii="Arial" w:hAnsi="Arial" w:cs="Arial" w:hint="eastAsia"/>
              </w:rPr>
              <w:t>II</w:t>
            </w:r>
            <w:proofErr w:type="gramStart"/>
            <w:r>
              <w:rPr>
                <w:rFonts w:ascii="Arial" w:hAnsi="Arial" w:cs="Arial" w:hint="eastAsia"/>
              </w:rPr>
              <w:t>期开发</w:t>
            </w:r>
            <w:proofErr w:type="gramEnd"/>
            <w:r>
              <w:rPr>
                <w:rFonts w:ascii="Arial" w:hAnsi="Arial" w:cs="Arial" w:hint="eastAsia"/>
              </w:rPr>
              <w:t>项目等，已完成多个海上二氧化碳捕集、输送及回注系统的设计，积累了较丰富的实际工程经验，并已经完成了企业标准《海上二氧化碳捕集及封存系统设计推荐做法》的制定和发布。</w:t>
            </w:r>
          </w:p>
          <w:p w14:paraId="514A28C0" w14:textId="77777777" w:rsidR="007177F2" w:rsidRDefault="00000000">
            <w:pPr>
              <w:ind w:firstLineChars="200" w:firstLine="420"/>
              <w:rPr>
                <w:rFonts w:ascii="Arial" w:hAnsi="Arial" w:cs="Arial"/>
              </w:rPr>
            </w:pPr>
            <w:r>
              <w:rPr>
                <w:rFonts w:ascii="Arial" w:hAnsi="Arial" w:cs="Arial" w:hint="eastAsia"/>
              </w:rPr>
              <w:t>核心团队</w:t>
            </w:r>
            <w:r>
              <w:rPr>
                <w:rFonts w:ascii="Arial" w:hAnsi="Arial" w:cs="Arial" w:hint="eastAsia"/>
              </w:rPr>
              <w:t>1</w:t>
            </w:r>
            <w:r>
              <w:rPr>
                <w:rFonts w:ascii="Arial" w:hAnsi="Arial" w:cs="Arial"/>
              </w:rPr>
              <w:t>5</w:t>
            </w:r>
            <w:r>
              <w:rPr>
                <w:rFonts w:ascii="Arial" w:hAnsi="Arial" w:cs="Arial" w:hint="eastAsia"/>
              </w:rPr>
              <w:t>人，教授级高工</w:t>
            </w:r>
            <w:r>
              <w:rPr>
                <w:rFonts w:ascii="Arial" w:hAnsi="Arial" w:cs="Arial" w:hint="eastAsia"/>
              </w:rPr>
              <w:t>1</w:t>
            </w:r>
            <w:r>
              <w:rPr>
                <w:rFonts w:ascii="Arial" w:hAnsi="Arial" w:cs="Arial" w:hint="eastAsia"/>
              </w:rPr>
              <w:t>人，高级工程师</w:t>
            </w:r>
            <w:r>
              <w:rPr>
                <w:rFonts w:ascii="Arial" w:hAnsi="Arial" w:cs="Arial" w:hint="eastAsia"/>
              </w:rPr>
              <w:t>1</w:t>
            </w:r>
            <w:r>
              <w:rPr>
                <w:rFonts w:ascii="Arial" w:hAnsi="Arial" w:cs="Arial"/>
              </w:rPr>
              <w:t>1</w:t>
            </w:r>
            <w:r>
              <w:rPr>
                <w:rFonts w:ascii="Arial" w:hAnsi="Arial" w:cs="Arial" w:hint="eastAsia"/>
              </w:rPr>
              <w:t>人，工程师</w:t>
            </w:r>
            <w:r>
              <w:rPr>
                <w:rFonts w:ascii="Arial" w:hAnsi="Arial" w:cs="Arial" w:hint="eastAsia"/>
              </w:rPr>
              <w:t>4</w:t>
            </w:r>
            <w:r>
              <w:rPr>
                <w:rFonts w:ascii="Arial" w:hAnsi="Arial" w:cs="Arial" w:hint="eastAsia"/>
              </w:rPr>
              <w:t>人。</w:t>
            </w:r>
          </w:p>
        </w:tc>
      </w:tr>
      <w:tr w:rsidR="007177F2" w14:paraId="1B065E7B" w14:textId="77777777">
        <w:trPr>
          <w:trHeight w:val="944"/>
          <w:jc w:val="center"/>
        </w:trPr>
        <w:tc>
          <w:tcPr>
            <w:tcW w:w="2025" w:type="dxa"/>
            <w:vAlign w:val="center"/>
          </w:tcPr>
          <w:p w14:paraId="133E6AC7" w14:textId="77777777" w:rsidR="007177F2" w:rsidRDefault="00000000">
            <w:pPr>
              <w:jc w:val="center"/>
              <w:rPr>
                <w:rFonts w:ascii="宋体" w:hAnsi="宋体" w:hint="eastAsia"/>
                <w:sz w:val="24"/>
              </w:rPr>
            </w:pPr>
            <w:r>
              <w:rPr>
                <w:rFonts w:ascii="宋体" w:hAnsi="宋体" w:hint="eastAsia"/>
                <w:sz w:val="24"/>
              </w:rPr>
              <w:t>申请立项单位意见</w:t>
            </w:r>
          </w:p>
        </w:tc>
        <w:tc>
          <w:tcPr>
            <w:tcW w:w="7210" w:type="dxa"/>
            <w:gridSpan w:val="6"/>
            <w:vAlign w:val="bottom"/>
          </w:tcPr>
          <w:p w14:paraId="5C931794" w14:textId="77777777" w:rsidR="007177F2" w:rsidRDefault="00000000">
            <w:pPr>
              <w:wordWrap w:val="0"/>
              <w:jc w:val="right"/>
              <w:rPr>
                <w:sz w:val="24"/>
              </w:rPr>
            </w:pPr>
            <w:r>
              <w:rPr>
                <w:rFonts w:hint="eastAsia"/>
                <w:sz w:val="24"/>
              </w:rPr>
              <w:t xml:space="preserve">（盖章）                                          </w:t>
            </w:r>
          </w:p>
          <w:p w14:paraId="11FC66F4" w14:textId="77777777" w:rsidR="007177F2" w:rsidRDefault="00000000">
            <w:pPr>
              <w:jc w:val="right"/>
              <w:rPr>
                <w:rFonts w:ascii="黑体" w:eastAsia="黑体" w:hAnsi="宋体" w:hint="eastAsia"/>
                <w:color w:val="000000"/>
                <w:sz w:val="24"/>
              </w:rPr>
            </w:pPr>
            <w:r>
              <w:rPr>
                <w:rFonts w:hint="eastAsia"/>
                <w:sz w:val="24"/>
              </w:rPr>
              <w:t>年   月   日</w:t>
            </w:r>
          </w:p>
        </w:tc>
      </w:tr>
      <w:tr w:rsidR="007177F2" w14:paraId="6205B509" w14:textId="77777777">
        <w:trPr>
          <w:trHeight w:val="1890"/>
          <w:jc w:val="center"/>
        </w:trPr>
        <w:tc>
          <w:tcPr>
            <w:tcW w:w="2025" w:type="dxa"/>
            <w:vAlign w:val="center"/>
          </w:tcPr>
          <w:p w14:paraId="5E63653B" w14:textId="77777777" w:rsidR="007177F2" w:rsidRDefault="00000000">
            <w:pPr>
              <w:jc w:val="center"/>
              <w:rPr>
                <w:sz w:val="24"/>
              </w:rPr>
            </w:pPr>
            <w:r>
              <w:rPr>
                <w:rFonts w:hint="eastAsia"/>
                <w:sz w:val="24"/>
              </w:rPr>
              <w:t>标准化学术委员会意见</w:t>
            </w:r>
          </w:p>
        </w:tc>
        <w:tc>
          <w:tcPr>
            <w:tcW w:w="2551" w:type="dxa"/>
            <w:gridSpan w:val="2"/>
            <w:vAlign w:val="bottom"/>
          </w:tcPr>
          <w:p w14:paraId="262F6C64" w14:textId="77777777" w:rsidR="007177F2" w:rsidRDefault="00000000">
            <w:pPr>
              <w:wordWrap w:val="0"/>
              <w:jc w:val="right"/>
              <w:rPr>
                <w:sz w:val="24"/>
              </w:rPr>
            </w:pPr>
            <w:r>
              <w:rPr>
                <w:rFonts w:hint="eastAsia"/>
                <w:sz w:val="24"/>
              </w:rPr>
              <w:t xml:space="preserve">（签名、盖章）     </w:t>
            </w:r>
          </w:p>
          <w:p w14:paraId="045DF7A6" w14:textId="77777777" w:rsidR="007177F2" w:rsidRDefault="007177F2">
            <w:pPr>
              <w:jc w:val="right"/>
              <w:rPr>
                <w:sz w:val="24"/>
              </w:rPr>
            </w:pPr>
          </w:p>
          <w:p w14:paraId="23F23B14" w14:textId="77777777" w:rsidR="007177F2" w:rsidRDefault="007177F2">
            <w:pPr>
              <w:jc w:val="right"/>
              <w:rPr>
                <w:sz w:val="24"/>
              </w:rPr>
            </w:pPr>
          </w:p>
          <w:p w14:paraId="1ED12258" w14:textId="77777777" w:rsidR="007177F2" w:rsidRDefault="00000000">
            <w:pPr>
              <w:jc w:val="right"/>
              <w:rPr>
                <w:sz w:val="24"/>
              </w:rPr>
            </w:pPr>
            <w:r>
              <w:rPr>
                <w:rFonts w:hint="eastAsia"/>
                <w:sz w:val="24"/>
              </w:rPr>
              <w:t>年   月   日</w:t>
            </w:r>
          </w:p>
        </w:tc>
        <w:tc>
          <w:tcPr>
            <w:tcW w:w="1985" w:type="dxa"/>
            <w:gridSpan w:val="3"/>
            <w:vAlign w:val="center"/>
          </w:tcPr>
          <w:p w14:paraId="581F46A9" w14:textId="77777777" w:rsidR="007177F2" w:rsidRDefault="00000000">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42E6A02E" w14:textId="77777777" w:rsidR="007177F2" w:rsidRDefault="00000000">
            <w:pPr>
              <w:wordWrap w:val="0"/>
              <w:jc w:val="right"/>
              <w:rPr>
                <w:sz w:val="24"/>
              </w:rPr>
            </w:pPr>
            <w:r>
              <w:rPr>
                <w:rFonts w:hint="eastAsia"/>
                <w:sz w:val="24"/>
              </w:rPr>
              <w:t xml:space="preserve">（签名、盖章）             </w:t>
            </w:r>
          </w:p>
          <w:p w14:paraId="249BD5EF" w14:textId="77777777" w:rsidR="007177F2" w:rsidRDefault="007177F2">
            <w:pPr>
              <w:jc w:val="right"/>
              <w:rPr>
                <w:sz w:val="24"/>
              </w:rPr>
            </w:pPr>
          </w:p>
          <w:p w14:paraId="096B07C5" w14:textId="77777777" w:rsidR="007177F2" w:rsidRDefault="007177F2">
            <w:pPr>
              <w:jc w:val="right"/>
              <w:rPr>
                <w:sz w:val="24"/>
              </w:rPr>
            </w:pPr>
          </w:p>
          <w:p w14:paraId="6A15D127" w14:textId="77777777" w:rsidR="007177F2" w:rsidRDefault="00000000">
            <w:pPr>
              <w:jc w:val="right"/>
              <w:rPr>
                <w:sz w:val="24"/>
              </w:rPr>
            </w:pPr>
            <w:r>
              <w:rPr>
                <w:rFonts w:hint="eastAsia"/>
                <w:sz w:val="24"/>
              </w:rPr>
              <w:t>年   月   日</w:t>
            </w:r>
          </w:p>
        </w:tc>
      </w:tr>
    </w:tbl>
    <w:p w14:paraId="0FFEFB61" w14:textId="77777777" w:rsidR="007177F2" w:rsidRDefault="00000000">
      <w:pPr>
        <w:jc w:val="left"/>
      </w:pPr>
      <w:r>
        <w:rPr>
          <w:rFonts w:hAnsiTheme="minorEastAsia" w:hint="eastAsia"/>
        </w:rPr>
        <w:t>注：如本表空间不够，可另附页。</w:t>
      </w:r>
    </w:p>
    <w:sectPr w:rsidR="007177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E8836" w14:textId="77777777" w:rsidR="009B20BD" w:rsidRDefault="009B20BD" w:rsidP="003C2B28">
      <w:r>
        <w:separator/>
      </w:r>
    </w:p>
  </w:endnote>
  <w:endnote w:type="continuationSeparator" w:id="0">
    <w:p w14:paraId="0702F7B7" w14:textId="77777777" w:rsidR="009B20BD" w:rsidRDefault="009B20BD" w:rsidP="003C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92CFC" w14:textId="77777777" w:rsidR="009B20BD" w:rsidRDefault="009B20BD" w:rsidP="003C2B28">
      <w:r>
        <w:separator/>
      </w:r>
    </w:p>
  </w:footnote>
  <w:footnote w:type="continuationSeparator" w:id="0">
    <w:p w14:paraId="45E341C1" w14:textId="77777777" w:rsidR="009B20BD" w:rsidRDefault="009B20BD" w:rsidP="003C2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81A6DB"/>
    <w:multiLevelType w:val="singleLevel"/>
    <w:tmpl w:val="4481A6DB"/>
    <w:lvl w:ilvl="0">
      <w:start w:val="1"/>
      <w:numFmt w:val="decimal"/>
      <w:suff w:val="nothing"/>
      <w:lvlText w:val="%1）"/>
      <w:lvlJc w:val="left"/>
    </w:lvl>
  </w:abstractNum>
  <w:abstractNum w:abstractNumId="1" w15:restartNumberingAfterBreak="0">
    <w:nsid w:val="4C330B50"/>
    <w:multiLevelType w:val="multilevel"/>
    <w:tmpl w:val="4C330B5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565D0311"/>
    <w:multiLevelType w:val="multilevel"/>
    <w:tmpl w:val="565D031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749618645">
    <w:abstractNumId w:val="2"/>
  </w:num>
  <w:num w:numId="2" w16cid:durableId="417407002">
    <w:abstractNumId w:val="1"/>
  </w:num>
  <w:num w:numId="3" w16cid:durableId="423841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29481E"/>
    <w:rsid w:val="003C2B28"/>
    <w:rsid w:val="003F38FA"/>
    <w:rsid w:val="00470632"/>
    <w:rsid w:val="004F7C7C"/>
    <w:rsid w:val="005443A1"/>
    <w:rsid w:val="005E7D40"/>
    <w:rsid w:val="00691A84"/>
    <w:rsid w:val="007177F2"/>
    <w:rsid w:val="007C3073"/>
    <w:rsid w:val="00837D5D"/>
    <w:rsid w:val="009019FA"/>
    <w:rsid w:val="009112A4"/>
    <w:rsid w:val="009B20BD"/>
    <w:rsid w:val="009D6D10"/>
    <w:rsid w:val="00AE2D16"/>
    <w:rsid w:val="00B439F8"/>
    <w:rsid w:val="00C20C0F"/>
    <w:rsid w:val="00D15145"/>
    <w:rsid w:val="00DA4B73"/>
    <w:rsid w:val="00E10E44"/>
    <w:rsid w:val="00EB3B78"/>
    <w:rsid w:val="00EC4835"/>
    <w:rsid w:val="01D6556A"/>
    <w:rsid w:val="1B544B28"/>
    <w:rsid w:val="2DAC6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F33482D-6FE1-4289-97AA-079088B34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rPr>
      <w:rFonts w:asciiTheme="minorEastAsia" w:cs="Times New Roman"/>
      <w:snapToGrid w:val="0"/>
      <w:sz w:val="18"/>
      <w:szCs w:val="18"/>
      <w:lang w:val="en-GB"/>
    </w:rPr>
  </w:style>
  <w:style w:type="character" w:customStyle="1" w:styleId="a8">
    <w:name w:val="页脚 字符"/>
    <w:basedOn w:val="a0"/>
    <w:link w:val="a7"/>
    <w:uiPriority w:val="99"/>
    <w:rPr>
      <w:rFonts w:asciiTheme="minorEastAsia" w:cs="Times New Roman"/>
      <w:snapToGrid w:val="0"/>
      <w:sz w:val="18"/>
      <w:szCs w:val="18"/>
      <w:lang w:val="en-GB"/>
    </w:rPr>
  </w:style>
  <w:style w:type="paragraph" w:customStyle="1" w:styleId="af">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a4">
    <w:name w:val="批注文字 字符"/>
    <w:basedOn w:val="a0"/>
    <w:link w:val="a3"/>
    <w:uiPriority w:val="99"/>
    <w:semiHidden/>
    <w:rPr>
      <w:rFonts w:asciiTheme="minorEastAsia" w:cs="Times New Roman"/>
      <w:snapToGrid w:val="0"/>
      <w:sz w:val="21"/>
      <w:szCs w:val="21"/>
      <w:lang w:val="en-GB"/>
    </w:rPr>
  </w:style>
  <w:style w:type="character" w:customStyle="1" w:styleId="ac">
    <w:name w:val="批注主题 字符"/>
    <w:basedOn w:val="a4"/>
    <w:link w:val="ab"/>
    <w:uiPriority w:val="99"/>
    <w:semiHidden/>
    <w:rPr>
      <w:rFonts w:asciiTheme="minorEastAsia" w:cs="Times New Roman"/>
      <w:b/>
      <w:bCs/>
      <w:snapToGrid w:val="0"/>
      <w:sz w:val="21"/>
      <w:szCs w:val="21"/>
      <w:lang w:val="en-GB"/>
    </w:rPr>
  </w:style>
  <w:style w:type="character" w:customStyle="1" w:styleId="a6">
    <w:name w:val="批注框文本 字符"/>
    <w:basedOn w:val="a0"/>
    <w:link w:val="a5"/>
    <w:uiPriority w:val="99"/>
    <w:semiHidden/>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257</Words>
  <Characters>1470</Characters>
  <Application>Microsoft Office Word</Application>
  <DocSecurity>0</DocSecurity>
  <Lines>12</Lines>
  <Paragraphs>3</Paragraphs>
  <ScaleCrop>false</ScaleCrop>
  <Company>Microsoft</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yan biao</cp:lastModifiedBy>
  <cp:revision>11</cp:revision>
  <dcterms:created xsi:type="dcterms:W3CDTF">2022-08-15T06:27:00Z</dcterms:created>
  <dcterms:modified xsi:type="dcterms:W3CDTF">2024-07-25T08:27:00Z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0A99FF815B694A5EA2DF4C6F1DFF22E9</vt:lpwstr>
  </property>
</Properties>
</file>