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1261" w14:textId="77777777" w:rsidR="00CE0EFC" w:rsidRPr="001B3300" w:rsidRDefault="00CE0EFC" w:rsidP="00CE0EFC">
      <w:pPr>
        <w:spacing w:line="360" w:lineRule="auto"/>
        <w:jc w:val="left"/>
        <w:rPr>
          <w:rFonts w:ascii="黑体" w:eastAsia="黑体" w:hAnsi="华文细黑"/>
          <w:color w:val="000000" w:themeColor="text1"/>
          <w:sz w:val="24"/>
        </w:rPr>
      </w:pPr>
      <w:r w:rsidRPr="001B3300">
        <w:rPr>
          <w:rFonts w:ascii="黑体" w:eastAsia="黑体" w:hAnsi="华文细黑" w:hint="eastAsia"/>
          <w:color w:val="000000" w:themeColor="text1"/>
          <w:sz w:val="24"/>
        </w:rPr>
        <w:t>附件7</w:t>
      </w:r>
    </w:p>
    <w:tbl>
      <w:tblPr>
        <w:tblW w:w="0" w:type="auto"/>
        <w:jc w:val="center"/>
        <w:tblLayout w:type="fixed"/>
        <w:tblLook w:val="0000" w:firstRow="0" w:lastRow="0" w:firstColumn="0" w:lastColumn="0" w:noHBand="0" w:noVBand="0"/>
      </w:tblPr>
      <w:tblGrid>
        <w:gridCol w:w="8177"/>
      </w:tblGrid>
      <w:tr w:rsidR="001B3300" w:rsidRPr="001B3300" w14:paraId="19941E35" w14:textId="77777777" w:rsidTr="00C51437">
        <w:trPr>
          <w:trHeight w:val="1573"/>
          <w:jc w:val="center"/>
        </w:trPr>
        <w:tc>
          <w:tcPr>
            <w:tcW w:w="8177" w:type="dxa"/>
          </w:tcPr>
          <w:p w14:paraId="152AC84A" w14:textId="77777777" w:rsidR="00CE0EFC" w:rsidRPr="001B3300" w:rsidRDefault="00CE0EFC" w:rsidP="00C51437">
            <w:pPr>
              <w:adjustRightInd w:val="0"/>
              <w:snapToGrid w:val="0"/>
              <w:spacing w:beforeLines="50" w:before="156"/>
              <w:jc w:val="center"/>
              <w:rPr>
                <w:rFonts w:eastAsia="黑体"/>
                <w:color w:val="000000" w:themeColor="text1"/>
                <w:spacing w:val="20"/>
                <w:sz w:val="44"/>
              </w:rPr>
            </w:pPr>
          </w:p>
          <w:p w14:paraId="25528970" w14:textId="77777777" w:rsidR="00CE0EFC" w:rsidRPr="001B3300" w:rsidRDefault="00CE0EFC" w:rsidP="00C51437">
            <w:pPr>
              <w:adjustRightInd w:val="0"/>
              <w:snapToGrid w:val="0"/>
              <w:spacing w:beforeLines="50" w:before="156"/>
              <w:jc w:val="center"/>
              <w:rPr>
                <w:rFonts w:eastAsia="黑体"/>
                <w:color w:val="000000" w:themeColor="text1"/>
                <w:spacing w:val="20"/>
                <w:sz w:val="44"/>
              </w:rPr>
            </w:pPr>
          </w:p>
          <w:p w14:paraId="6A6F5D42" w14:textId="77777777" w:rsidR="00CE0EFC" w:rsidRPr="001B3300" w:rsidRDefault="00CE0EFC" w:rsidP="00C51437">
            <w:pPr>
              <w:adjustRightInd w:val="0"/>
              <w:snapToGrid w:val="0"/>
              <w:spacing w:beforeLines="50" w:before="156"/>
              <w:jc w:val="center"/>
              <w:rPr>
                <w:rFonts w:ascii="宋体" w:eastAsia="黑体" w:hAnsi="Calibri"/>
                <w:color w:val="000000" w:themeColor="text1"/>
                <w:spacing w:val="20"/>
                <w:sz w:val="44"/>
              </w:rPr>
            </w:pPr>
            <w:r w:rsidRPr="001B3300">
              <w:rPr>
                <w:rFonts w:ascii="宋体" w:eastAsia="黑体" w:hAnsi="Calibri" w:hint="eastAsia"/>
                <w:color w:val="000000" w:themeColor="text1"/>
                <w:spacing w:val="20"/>
                <w:sz w:val="44"/>
              </w:rPr>
              <w:t>中国造船工程学会标准</w:t>
            </w:r>
          </w:p>
          <w:p w14:paraId="4D59A96F" w14:textId="61EB7B1C" w:rsidR="00CE0EFC" w:rsidRPr="001B3300" w:rsidRDefault="00CE0EFC" w:rsidP="00C51437">
            <w:pPr>
              <w:adjustRightInd w:val="0"/>
              <w:snapToGrid w:val="0"/>
              <w:spacing w:beforeLines="50" w:before="156"/>
              <w:jc w:val="center"/>
              <w:rPr>
                <w:rFonts w:eastAsia="黑体"/>
                <w:color w:val="000000" w:themeColor="text1"/>
                <w:spacing w:val="20"/>
                <w:sz w:val="44"/>
              </w:rPr>
            </w:pPr>
            <w:r w:rsidRPr="001B3300">
              <w:rPr>
                <w:rFonts w:ascii="宋体" w:eastAsia="黑体" w:hAnsi="Calibri" w:hint="eastAsia"/>
                <w:color w:val="000000" w:themeColor="text1"/>
                <w:spacing w:val="20"/>
                <w:sz w:val="44"/>
              </w:rPr>
              <w:t>《</w:t>
            </w:r>
            <w:r w:rsidR="005246A6" w:rsidRPr="005246A6">
              <w:rPr>
                <w:rFonts w:eastAsia="黑体" w:hint="eastAsia"/>
                <w:color w:val="000000" w:themeColor="text1"/>
                <w:spacing w:val="20"/>
                <w:sz w:val="44"/>
              </w:rPr>
              <w:t>船用新燃料动力设备能效</w:t>
            </w:r>
            <w:r w:rsidR="00BD1FBF">
              <w:rPr>
                <w:rFonts w:eastAsia="黑体" w:hint="eastAsia"/>
                <w:color w:val="000000" w:themeColor="text1"/>
                <w:spacing w:val="20"/>
                <w:sz w:val="44"/>
              </w:rPr>
              <w:t>基值与分级原则</w:t>
            </w:r>
            <w:r w:rsidRPr="001B3300">
              <w:rPr>
                <w:rFonts w:ascii="宋体" w:eastAsia="黑体" w:hAnsi="Calibri" w:hint="eastAsia"/>
                <w:color w:val="000000" w:themeColor="text1"/>
                <w:spacing w:val="20"/>
                <w:sz w:val="44"/>
              </w:rPr>
              <w:t>》</w:t>
            </w:r>
          </w:p>
          <w:p w14:paraId="03C5D5DA" w14:textId="77777777" w:rsidR="00CE0EFC" w:rsidRPr="001B3300" w:rsidRDefault="00CE0EFC" w:rsidP="00C51437">
            <w:pPr>
              <w:adjustRightInd w:val="0"/>
              <w:snapToGrid w:val="0"/>
              <w:spacing w:beforeLines="50" w:before="156"/>
              <w:jc w:val="center"/>
              <w:rPr>
                <w:rFonts w:eastAsia="黑体"/>
                <w:color w:val="000000" w:themeColor="text1"/>
                <w:spacing w:val="20"/>
                <w:sz w:val="44"/>
              </w:rPr>
            </w:pPr>
          </w:p>
          <w:p w14:paraId="57A9CD75" w14:textId="77777777" w:rsidR="00CE0EFC" w:rsidRPr="001B3300" w:rsidRDefault="00CE0EFC" w:rsidP="00C51437">
            <w:pPr>
              <w:adjustRightInd w:val="0"/>
              <w:snapToGrid w:val="0"/>
              <w:spacing w:beforeLines="50" w:before="156"/>
              <w:jc w:val="center"/>
              <w:rPr>
                <w:rFonts w:eastAsia="黑体"/>
                <w:color w:val="000000" w:themeColor="text1"/>
                <w:spacing w:val="20"/>
                <w:sz w:val="44"/>
              </w:rPr>
            </w:pPr>
          </w:p>
          <w:p w14:paraId="283BE35D" w14:textId="77777777" w:rsidR="00CE0EFC" w:rsidRPr="001B3300" w:rsidRDefault="00CE0EFC" w:rsidP="00C51437">
            <w:pPr>
              <w:adjustRightInd w:val="0"/>
              <w:snapToGrid w:val="0"/>
              <w:spacing w:beforeLines="50" w:before="156"/>
              <w:jc w:val="center"/>
              <w:rPr>
                <w:rFonts w:ascii="宋体" w:eastAsia="黑体" w:hAnsi="Calibri"/>
                <w:color w:val="000000" w:themeColor="text1"/>
                <w:spacing w:val="20"/>
                <w:sz w:val="44"/>
              </w:rPr>
            </w:pPr>
            <w:r w:rsidRPr="001B3300">
              <w:rPr>
                <w:rFonts w:ascii="宋体" w:eastAsia="黑体" w:hAnsi="Calibri" w:hint="eastAsia"/>
                <w:color w:val="000000" w:themeColor="text1"/>
                <w:spacing w:val="20"/>
                <w:sz w:val="44"/>
              </w:rPr>
              <w:t>编制说明</w:t>
            </w:r>
          </w:p>
          <w:p w14:paraId="1C8E22CE" w14:textId="77777777" w:rsidR="00CE0EFC" w:rsidRPr="001B3300" w:rsidRDefault="00CE0EFC" w:rsidP="00C51437">
            <w:pPr>
              <w:jc w:val="center"/>
              <w:rPr>
                <w:rFonts w:ascii="宋体" w:eastAsia="黑体" w:hAnsi="Calibri"/>
                <w:color w:val="000000" w:themeColor="text1"/>
                <w:spacing w:val="20"/>
                <w:sz w:val="28"/>
              </w:rPr>
            </w:pPr>
          </w:p>
          <w:p w14:paraId="13D9FF46" w14:textId="77777777" w:rsidR="00CE0EFC" w:rsidRPr="001B3300" w:rsidRDefault="00CE0EFC" w:rsidP="00C51437">
            <w:pPr>
              <w:jc w:val="center"/>
              <w:rPr>
                <w:rFonts w:ascii="宋体" w:eastAsia="黑体" w:hAnsi="Calibri"/>
                <w:color w:val="000000" w:themeColor="text1"/>
                <w:spacing w:val="20"/>
                <w:sz w:val="28"/>
              </w:rPr>
            </w:pPr>
          </w:p>
          <w:p w14:paraId="2D22CA04" w14:textId="77777777" w:rsidR="00CE0EFC" w:rsidRPr="001B3300" w:rsidRDefault="00CE0EFC" w:rsidP="00C51437">
            <w:pPr>
              <w:jc w:val="center"/>
              <w:rPr>
                <w:rFonts w:ascii="宋体" w:eastAsia="黑体" w:hAnsi="Calibri"/>
                <w:color w:val="000000" w:themeColor="text1"/>
                <w:spacing w:val="20"/>
                <w:sz w:val="28"/>
              </w:rPr>
            </w:pPr>
          </w:p>
          <w:p w14:paraId="2AACCE07" w14:textId="77777777" w:rsidR="00CE0EFC" w:rsidRPr="001B3300" w:rsidRDefault="00CE0EFC" w:rsidP="00C51437">
            <w:pPr>
              <w:jc w:val="center"/>
              <w:rPr>
                <w:rFonts w:ascii="宋体" w:eastAsia="黑体" w:hAnsi="Calibri"/>
                <w:color w:val="000000" w:themeColor="text1"/>
                <w:spacing w:val="20"/>
                <w:sz w:val="28"/>
              </w:rPr>
            </w:pPr>
          </w:p>
          <w:p w14:paraId="42689C76" w14:textId="797161DF" w:rsidR="00CE0EFC" w:rsidRPr="001B3300" w:rsidRDefault="00CE0EFC" w:rsidP="00C51437">
            <w:pPr>
              <w:jc w:val="center"/>
              <w:rPr>
                <w:rFonts w:ascii="宋体" w:eastAsia="黑体" w:hAnsi="Calibri"/>
                <w:color w:val="000000" w:themeColor="text1"/>
                <w:spacing w:val="20"/>
                <w:sz w:val="32"/>
                <w:szCs w:val="32"/>
              </w:rPr>
            </w:pPr>
            <w:r w:rsidRPr="001B3300">
              <w:rPr>
                <w:rFonts w:ascii="宋体" w:eastAsia="黑体" w:hAnsi="Calibri" w:hint="eastAsia"/>
                <w:color w:val="000000" w:themeColor="text1"/>
                <w:spacing w:val="20"/>
                <w:sz w:val="32"/>
                <w:szCs w:val="32"/>
              </w:rPr>
              <w:t>（</w:t>
            </w:r>
            <w:r w:rsidR="004E542C">
              <w:rPr>
                <w:rFonts w:ascii="黑体" w:eastAsia="黑体" w:hint="eastAsia"/>
                <w:color w:val="000000" w:themeColor="text1"/>
                <w:spacing w:val="20"/>
                <w:sz w:val="32"/>
                <w:szCs w:val="32"/>
              </w:rPr>
              <w:t>送审</w:t>
            </w:r>
            <w:r w:rsidR="008C67EB">
              <w:rPr>
                <w:rFonts w:ascii="黑体" w:eastAsia="黑体" w:hint="eastAsia"/>
                <w:color w:val="000000" w:themeColor="text1"/>
                <w:spacing w:val="20"/>
                <w:sz w:val="32"/>
                <w:szCs w:val="32"/>
              </w:rPr>
              <w:t>稿</w:t>
            </w:r>
            <w:r w:rsidRPr="001B3300">
              <w:rPr>
                <w:rFonts w:ascii="宋体" w:eastAsia="黑体" w:hAnsi="Calibri" w:hint="eastAsia"/>
                <w:color w:val="000000" w:themeColor="text1"/>
                <w:spacing w:val="20"/>
                <w:sz w:val="32"/>
                <w:szCs w:val="32"/>
              </w:rPr>
              <w:t>）</w:t>
            </w:r>
          </w:p>
          <w:p w14:paraId="4247445E" w14:textId="77777777" w:rsidR="00CE0EFC" w:rsidRPr="001B3300" w:rsidRDefault="00CE0EFC" w:rsidP="00C51437">
            <w:pPr>
              <w:jc w:val="center"/>
              <w:rPr>
                <w:rFonts w:ascii="宋体" w:eastAsia="黑体" w:hAnsi="Calibri"/>
                <w:color w:val="000000" w:themeColor="text1"/>
                <w:spacing w:val="20"/>
                <w:sz w:val="28"/>
              </w:rPr>
            </w:pPr>
          </w:p>
          <w:p w14:paraId="43169A66" w14:textId="77777777" w:rsidR="00CE0EFC" w:rsidRPr="001B3300" w:rsidRDefault="00CE0EFC" w:rsidP="00C51437">
            <w:pPr>
              <w:jc w:val="center"/>
              <w:rPr>
                <w:rFonts w:ascii="宋体" w:eastAsia="黑体" w:hAnsi="Calibri"/>
                <w:color w:val="000000" w:themeColor="text1"/>
                <w:spacing w:val="20"/>
                <w:sz w:val="28"/>
              </w:rPr>
            </w:pPr>
          </w:p>
          <w:p w14:paraId="552E0322" w14:textId="77777777" w:rsidR="00CE0EFC" w:rsidRPr="001B3300" w:rsidRDefault="00CE0EFC" w:rsidP="00C51437">
            <w:pPr>
              <w:jc w:val="center"/>
              <w:rPr>
                <w:rFonts w:ascii="宋体" w:eastAsia="黑体" w:hAnsi="Calibri"/>
                <w:color w:val="000000" w:themeColor="text1"/>
                <w:spacing w:val="20"/>
                <w:sz w:val="28"/>
              </w:rPr>
            </w:pPr>
          </w:p>
          <w:p w14:paraId="613B2583" w14:textId="77777777" w:rsidR="00CE0EFC" w:rsidRPr="00CF5103" w:rsidRDefault="00CE0EFC" w:rsidP="00C51437">
            <w:pPr>
              <w:jc w:val="center"/>
              <w:rPr>
                <w:rFonts w:ascii="宋体" w:eastAsia="黑体" w:hAnsi="Calibri"/>
                <w:color w:val="000000" w:themeColor="text1"/>
                <w:spacing w:val="20"/>
                <w:sz w:val="28"/>
              </w:rPr>
            </w:pPr>
          </w:p>
          <w:p w14:paraId="351AFD97" w14:textId="77777777" w:rsidR="00CE0EFC" w:rsidRPr="001B3300" w:rsidRDefault="00CE0EFC" w:rsidP="00C51437">
            <w:pPr>
              <w:adjustRightInd w:val="0"/>
              <w:snapToGrid w:val="0"/>
              <w:spacing w:beforeLines="50" w:before="156"/>
              <w:jc w:val="center"/>
              <w:rPr>
                <w:rFonts w:ascii="宋体" w:eastAsia="黑体" w:hAnsi="Calibri"/>
                <w:color w:val="000000" w:themeColor="text1"/>
                <w:spacing w:val="20"/>
                <w:sz w:val="44"/>
              </w:rPr>
            </w:pPr>
          </w:p>
          <w:p w14:paraId="677F4C04" w14:textId="51B7550C" w:rsidR="00CE0EFC" w:rsidRPr="001B3300" w:rsidRDefault="008E6308" w:rsidP="008E6308">
            <w:pPr>
              <w:adjustRightInd w:val="0"/>
              <w:snapToGrid w:val="0"/>
              <w:spacing w:beforeLines="50" w:before="156"/>
              <w:jc w:val="center"/>
              <w:rPr>
                <w:rFonts w:ascii="宋体" w:eastAsia="黑体" w:hAnsi="Calibri"/>
                <w:color w:val="000000" w:themeColor="text1"/>
                <w:sz w:val="44"/>
                <w:szCs w:val="44"/>
              </w:rPr>
            </w:pPr>
            <w:r w:rsidRPr="001B3300">
              <w:rPr>
                <w:rFonts w:ascii="黑体" w:eastAsia="黑体"/>
                <w:color w:val="000000" w:themeColor="text1"/>
                <w:sz w:val="32"/>
                <w:szCs w:val="32"/>
              </w:rPr>
              <w:t>202</w:t>
            </w:r>
            <w:r w:rsidR="008C67EB">
              <w:rPr>
                <w:rFonts w:ascii="黑体" w:eastAsia="黑体"/>
                <w:color w:val="000000" w:themeColor="text1"/>
                <w:sz w:val="32"/>
                <w:szCs w:val="32"/>
              </w:rPr>
              <w:t>4</w:t>
            </w:r>
            <w:r w:rsidR="00CE0EFC" w:rsidRPr="001B3300">
              <w:rPr>
                <w:rFonts w:ascii="黑体" w:eastAsia="黑体" w:hAnsi="Calibri" w:hint="eastAsia"/>
                <w:color w:val="000000" w:themeColor="text1"/>
                <w:sz w:val="32"/>
                <w:szCs w:val="32"/>
              </w:rPr>
              <w:t>年</w:t>
            </w:r>
            <w:r w:rsidR="0056435C">
              <w:rPr>
                <w:rFonts w:ascii="黑体" w:eastAsia="黑体"/>
                <w:color w:val="000000" w:themeColor="text1"/>
                <w:sz w:val="32"/>
                <w:szCs w:val="32"/>
              </w:rPr>
              <w:t>10</w:t>
            </w:r>
            <w:r w:rsidR="00CE0EFC" w:rsidRPr="001B3300">
              <w:rPr>
                <w:rFonts w:ascii="黑体" w:eastAsia="黑体" w:hAnsi="Calibri" w:hint="eastAsia"/>
                <w:color w:val="000000" w:themeColor="text1"/>
                <w:sz w:val="32"/>
                <w:szCs w:val="32"/>
              </w:rPr>
              <w:t>月</w:t>
            </w:r>
          </w:p>
        </w:tc>
      </w:tr>
    </w:tbl>
    <w:p w14:paraId="6257882E" w14:textId="77777777" w:rsidR="00CE0EFC" w:rsidRPr="001B3300" w:rsidRDefault="00CE0EFC" w:rsidP="00CE0EFC">
      <w:pPr>
        <w:adjustRightInd w:val="0"/>
        <w:snapToGrid w:val="0"/>
        <w:spacing w:beforeLines="50" w:before="156"/>
        <w:jc w:val="center"/>
        <w:rPr>
          <w:rFonts w:eastAsia="黑体"/>
          <w:color w:val="000000" w:themeColor="text1"/>
          <w:spacing w:val="20"/>
          <w:sz w:val="44"/>
        </w:rPr>
        <w:sectPr w:rsidR="00CE0EFC" w:rsidRPr="001B3300" w:rsidSect="00E76885">
          <w:pgSz w:w="11906" w:h="16838"/>
          <w:pgMar w:top="1440" w:right="1800" w:bottom="1440" w:left="1800" w:header="851" w:footer="992" w:gutter="0"/>
          <w:pgNumType w:start="1"/>
          <w:cols w:space="425"/>
          <w:docGrid w:type="lines" w:linePitch="312"/>
        </w:sectPr>
      </w:pPr>
    </w:p>
    <w:p w14:paraId="53103E00" w14:textId="77777777" w:rsidR="00CE0EFC" w:rsidRPr="001B3300" w:rsidRDefault="00CE0EFC" w:rsidP="00CE0EFC">
      <w:pPr>
        <w:spacing w:line="360" w:lineRule="auto"/>
        <w:jc w:val="left"/>
        <w:rPr>
          <w:rFonts w:hAnsiTheme="minorEastAsia"/>
          <w:b/>
          <w:color w:val="000000" w:themeColor="text1"/>
          <w:sz w:val="24"/>
        </w:rPr>
      </w:pPr>
      <w:r w:rsidRPr="001B3300">
        <w:rPr>
          <w:rFonts w:hAnsiTheme="minorEastAsia" w:hint="eastAsia"/>
          <w:b/>
          <w:color w:val="000000" w:themeColor="text1"/>
          <w:sz w:val="24"/>
        </w:rPr>
        <w:lastRenderedPageBreak/>
        <w:t>一、工作简况</w:t>
      </w:r>
    </w:p>
    <w:p w14:paraId="3127786B" w14:textId="77777777" w:rsidR="00CE0EFC" w:rsidRPr="005246A6" w:rsidRDefault="00CE0EFC" w:rsidP="00CE0EFC">
      <w:pPr>
        <w:spacing w:line="360" w:lineRule="auto"/>
        <w:jc w:val="left"/>
        <w:rPr>
          <w:rFonts w:ascii="宋体" w:hAnsi="宋体"/>
          <w:b/>
          <w:sz w:val="24"/>
        </w:rPr>
      </w:pPr>
      <w:r w:rsidRPr="005246A6">
        <w:rPr>
          <w:rFonts w:ascii="宋体" w:eastAsia="宋体" w:hAnsi="宋体" w:hint="eastAsia"/>
          <w:b/>
          <w:sz w:val="24"/>
        </w:rPr>
        <w:t>（一）任务来源</w:t>
      </w:r>
    </w:p>
    <w:p w14:paraId="5D05E48F" w14:textId="19EB8689" w:rsidR="00A00A3D" w:rsidRPr="005246A6" w:rsidRDefault="00A00A3D" w:rsidP="00A00A3D">
      <w:pPr>
        <w:spacing w:line="360" w:lineRule="auto"/>
        <w:ind w:firstLineChars="200" w:firstLine="480"/>
        <w:jc w:val="left"/>
        <w:rPr>
          <w:rFonts w:ascii="Times New Roman" w:hAnsi="Times New Roman"/>
          <w:iCs/>
          <w:sz w:val="24"/>
        </w:rPr>
      </w:pPr>
      <w:r w:rsidRPr="005246A6">
        <w:rPr>
          <w:rFonts w:ascii="Times New Roman" w:hAnsi="Times New Roman"/>
          <w:iCs/>
          <w:sz w:val="24"/>
        </w:rPr>
        <w:t>中国造船工程学会标准《</w:t>
      </w:r>
      <w:r w:rsidR="005246A6" w:rsidRPr="005246A6">
        <w:rPr>
          <w:rFonts w:hint="eastAsia"/>
          <w:sz w:val="24"/>
          <w:szCs w:val="24"/>
        </w:rPr>
        <w:t>船用新燃料动力设备能效</w:t>
      </w:r>
      <w:r w:rsidR="00681DF2">
        <w:rPr>
          <w:rFonts w:hint="eastAsia"/>
          <w:sz w:val="24"/>
          <w:szCs w:val="24"/>
        </w:rPr>
        <w:t>基值与分级原则</w:t>
      </w:r>
      <w:r w:rsidRPr="005246A6">
        <w:rPr>
          <w:rFonts w:ascii="Times New Roman" w:hAnsi="Times New Roman"/>
          <w:iCs/>
          <w:sz w:val="24"/>
        </w:rPr>
        <w:t>》（</w:t>
      </w:r>
      <w:r w:rsidRPr="005246A6">
        <w:rPr>
          <w:rFonts w:ascii="Times New Roman" w:hAnsi="Times New Roman"/>
          <w:iCs/>
          <w:sz w:val="24"/>
        </w:rPr>
        <w:t xml:space="preserve">T/CSNAME </w:t>
      </w:r>
      <w:r w:rsidR="007138F9">
        <w:rPr>
          <w:rFonts w:ascii="Times New Roman" w:hAnsi="Times New Roman"/>
          <w:iCs/>
          <w:sz w:val="24"/>
        </w:rPr>
        <w:t>118</w:t>
      </w:r>
      <w:r w:rsidRPr="005246A6">
        <w:rPr>
          <w:rFonts w:ascii="Times New Roman" w:hAnsi="Times New Roman"/>
          <w:iCs/>
          <w:sz w:val="24"/>
        </w:rPr>
        <w:t>-</w:t>
      </w:r>
      <w:r w:rsidR="007138F9">
        <w:rPr>
          <w:rFonts w:ascii="Times New Roman" w:hAnsi="Times New Roman" w:hint="eastAsia"/>
          <w:iCs/>
          <w:sz w:val="24"/>
        </w:rPr>
        <w:t>XXXX</w:t>
      </w:r>
      <w:r w:rsidRPr="005246A6">
        <w:rPr>
          <w:rFonts w:ascii="Times New Roman" w:hAnsi="Times New Roman"/>
          <w:iCs/>
          <w:sz w:val="24"/>
        </w:rPr>
        <w:t>）由</w:t>
      </w:r>
      <w:r w:rsidR="00681DF2">
        <w:rPr>
          <w:rFonts w:ascii="Times New Roman" w:hAnsi="Times New Roman" w:hint="eastAsia"/>
          <w:iCs/>
          <w:sz w:val="24"/>
        </w:rPr>
        <w:t>武汉理工大学和哈尔滨工程大学</w:t>
      </w:r>
      <w:r w:rsidRPr="005246A6">
        <w:rPr>
          <w:rFonts w:ascii="Times New Roman" w:hAnsi="Times New Roman" w:hint="eastAsia"/>
          <w:iCs/>
          <w:sz w:val="24"/>
        </w:rPr>
        <w:t>（以下简称</w:t>
      </w:r>
      <w:r w:rsidR="00681DF2">
        <w:rPr>
          <w:rFonts w:ascii="Times New Roman" w:hAnsi="Times New Roman" w:hint="eastAsia"/>
          <w:iCs/>
          <w:sz w:val="24"/>
        </w:rPr>
        <w:t>武理工和哈工程</w:t>
      </w:r>
      <w:r w:rsidRPr="005246A6">
        <w:rPr>
          <w:rFonts w:ascii="Times New Roman" w:hAnsi="Times New Roman" w:hint="eastAsia"/>
          <w:iCs/>
          <w:sz w:val="24"/>
        </w:rPr>
        <w:t>）</w:t>
      </w:r>
      <w:r w:rsidRPr="005246A6">
        <w:rPr>
          <w:rFonts w:ascii="Times New Roman" w:hAnsi="Times New Roman"/>
          <w:iCs/>
          <w:sz w:val="24"/>
        </w:rPr>
        <w:t>主编，编制时间为</w:t>
      </w:r>
      <w:r w:rsidR="007138F9" w:rsidRPr="00576ECF">
        <w:rPr>
          <w:rFonts w:ascii="Times New Roman" w:hAnsi="Times New Roman"/>
          <w:iCs/>
          <w:sz w:val="24"/>
        </w:rPr>
        <w:t>202</w:t>
      </w:r>
      <w:r w:rsidR="007138F9" w:rsidRPr="00576ECF">
        <w:rPr>
          <w:rFonts w:ascii="Times New Roman" w:hAnsi="Times New Roman" w:hint="eastAsia"/>
          <w:iCs/>
          <w:sz w:val="24"/>
        </w:rPr>
        <w:t>4</w:t>
      </w:r>
      <w:r w:rsidR="007138F9" w:rsidRPr="00576ECF">
        <w:rPr>
          <w:rFonts w:ascii="Times New Roman" w:hAnsi="Times New Roman"/>
          <w:iCs/>
          <w:sz w:val="24"/>
        </w:rPr>
        <w:t>年</w:t>
      </w:r>
      <w:r w:rsidR="007138F9">
        <w:rPr>
          <w:rFonts w:ascii="Times New Roman" w:hAnsi="Times New Roman" w:hint="eastAsia"/>
          <w:iCs/>
          <w:sz w:val="24"/>
        </w:rPr>
        <w:t>3</w:t>
      </w:r>
      <w:r w:rsidR="007138F9" w:rsidRPr="00576ECF">
        <w:rPr>
          <w:rFonts w:ascii="Times New Roman" w:hAnsi="Times New Roman"/>
          <w:iCs/>
          <w:sz w:val="24"/>
        </w:rPr>
        <w:t>月</w:t>
      </w:r>
      <w:r w:rsidR="007138F9" w:rsidRPr="00576ECF">
        <w:rPr>
          <w:rFonts w:ascii="Times New Roman" w:hAnsi="Times New Roman"/>
          <w:iCs/>
          <w:sz w:val="24"/>
        </w:rPr>
        <w:t>-2024</w:t>
      </w:r>
      <w:r w:rsidR="007138F9" w:rsidRPr="00576ECF">
        <w:rPr>
          <w:rFonts w:ascii="Times New Roman" w:hAnsi="Times New Roman"/>
          <w:iCs/>
          <w:sz w:val="24"/>
        </w:rPr>
        <w:t>年</w:t>
      </w:r>
      <w:r w:rsidR="007138F9" w:rsidRPr="00576ECF">
        <w:rPr>
          <w:rFonts w:ascii="Times New Roman" w:hAnsi="Times New Roman" w:hint="eastAsia"/>
          <w:iCs/>
          <w:sz w:val="24"/>
        </w:rPr>
        <w:t>8</w:t>
      </w:r>
      <w:r w:rsidR="007138F9" w:rsidRPr="00576ECF">
        <w:rPr>
          <w:rFonts w:ascii="Times New Roman" w:hAnsi="Times New Roman"/>
          <w:iCs/>
          <w:sz w:val="24"/>
        </w:rPr>
        <w:t>月</w:t>
      </w:r>
      <w:r w:rsidRPr="005246A6">
        <w:rPr>
          <w:rFonts w:ascii="Times New Roman" w:hAnsi="Times New Roman"/>
          <w:iCs/>
          <w:sz w:val="24"/>
        </w:rPr>
        <w:t>。</w:t>
      </w:r>
      <w:r w:rsidR="005A04DC">
        <w:rPr>
          <w:rFonts w:ascii="Times New Roman" w:hAnsi="Times New Roman" w:hint="eastAsia"/>
          <w:iCs/>
          <w:sz w:val="24"/>
        </w:rPr>
        <w:t>本团体标准</w:t>
      </w:r>
      <w:r w:rsidR="005A04DC" w:rsidRPr="008440BD">
        <w:rPr>
          <w:rFonts w:ascii="Times New Roman" w:hAnsi="Times New Roman" w:hint="eastAsia"/>
          <w:iCs/>
          <w:sz w:val="24"/>
        </w:rPr>
        <w:t>为《</w:t>
      </w:r>
      <w:bookmarkStart w:id="0" w:name="_Hlk181437292"/>
      <w:r w:rsidR="005A04DC" w:rsidRPr="008440BD">
        <w:rPr>
          <w:rFonts w:ascii="Times New Roman" w:hAnsi="Times New Roman" w:hint="eastAsia"/>
          <w:iCs/>
          <w:sz w:val="24"/>
        </w:rPr>
        <w:t>绿色智能船舶排放监测与管控技术</w:t>
      </w:r>
      <w:r w:rsidR="005A04DC">
        <w:rPr>
          <w:rFonts w:ascii="Times New Roman" w:hAnsi="Times New Roman" w:hint="eastAsia"/>
          <w:iCs/>
          <w:sz w:val="24"/>
        </w:rPr>
        <w:t>(</w:t>
      </w:r>
      <w:r w:rsidR="005A04DC" w:rsidRPr="008440BD">
        <w:rPr>
          <w:rFonts w:ascii="Times New Roman" w:hAnsi="Times New Roman" w:hint="eastAsia"/>
          <w:iCs/>
          <w:sz w:val="24"/>
        </w:rPr>
        <w:t>CBG4N21-1-4</w:t>
      </w:r>
      <w:bookmarkEnd w:id="0"/>
      <w:r w:rsidR="005A04DC">
        <w:rPr>
          <w:rFonts w:ascii="Times New Roman" w:hAnsi="Times New Roman"/>
          <w:iCs/>
          <w:sz w:val="24"/>
        </w:rPr>
        <w:t>)</w:t>
      </w:r>
      <w:r w:rsidR="005A04DC" w:rsidRPr="008440BD">
        <w:rPr>
          <w:rFonts w:ascii="Times New Roman" w:hAnsi="Times New Roman" w:hint="eastAsia"/>
          <w:iCs/>
          <w:sz w:val="24"/>
        </w:rPr>
        <w:t>》科研项目</w:t>
      </w:r>
      <w:r w:rsidR="005A04DC" w:rsidRPr="008440BD">
        <w:rPr>
          <w:rFonts w:ascii="Times New Roman" w:hAnsi="Times New Roman" w:hint="eastAsia"/>
          <w:iCs/>
          <w:sz w:val="24"/>
        </w:rPr>
        <w:t>/</w:t>
      </w:r>
      <w:r w:rsidR="005A04DC" w:rsidRPr="008440BD">
        <w:rPr>
          <w:rFonts w:ascii="Times New Roman" w:hAnsi="Times New Roman" w:hint="eastAsia"/>
          <w:iCs/>
          <w:sz w:val="24"/>
        </w:rPr>
        <w:t>实船项目成果的转化。</w:t>
      </w:r>
    </w:p>
    <w:p w14:paraId="3A92220B" w14:textId="77777777" w:rsidR="007138F9" w:rsidRPr="007E3BC1" w:rsidRDefault="007138F9" w:rsidP="007138F9">
      <w:pPr>
        <w:spacing w:line="360" w:lineRule="auto"/>
        <w:ind w:firstLineChars="200" w:firstLine="480"/>
        <w:jc w:val="left"/>
        <w:rPr>
          <w:rFonts w:ascii="Times New Roman" w:hAnsi="Times New Roman"/>
          <w:iCs/>
          <w:sz w:val="24"/>
        </w:rPr>
      </w:pPr>
      <w:r w:rsidRPr="007E3BC1">
        <w:rPr>
          <w:rFonts w:ascii="Times New Roman" w:hAnsi="Times New Roman"/>
          <w:iCs/>
          <w:sz w:val="24"/>
        </w:rPr>
        <w:t>本标准根据中国造船工程学会</w:t>
      </w:r>
      <w:proofErr w:type="gramStart"/>
      <w:r w:rsidRPr="007E3BC1">
        <w:rPr>
          <w:rFonts w:ascii="Times New Roman" w:hAnsi="Times New Roman"/>
          <w:iCs/>
          <w:sz w:val="24"/>
        </w:rPr>
        <w:t>《</w:t>
      </w:r>
      <w:proofErr w:type="gramEnd"/>
      <w:r w:rsidRPr="00D55E4D">
        <w:rPr>
          <w:rFonts w:ascii="Times New Roman" w:hAnsi="Times New Roman" w:hint="eastAsia"/>
          <w:iCs/>
          <w:sz w:val="24"/>
        </w:rPr>
        <w:t>关于下达</w:t>
      </w:r>
      <w:proofErr w:type="gramStart"/>
      <w:r w:rsidRPr="00D55E4D">
        <w:rPr>
          <w:rFonts w:ascii="Times New Roman" w:hAnsi="Times New Roman" w:hint="eastAsia"/>
          <w:iCs/>
          <w:sz w:val="24"/>
        </w:rPr>
        <w:t>《</w:t>
      </w:r>
      <w:proofErr w:type="gramEnd"/>
      <w:r w:rsidRPr="00D55E4D">
        <w:rPr>
          <w:rFonts w:ascii="Times New Roman" w:hAnsi="Times New Roman" w:hint="eastAsia"/>
          <w:iCs/>
          <w:sz w:val="24"/>
        </w:rPr>
        <w:t>深水锚桩安装作业规程</w:t>
      </w:r>
      <w:proofErr w:type="gramStart"/>
      <w:r w:rsidRPr="00D55E4D">
        <w:rPr>
          <w:rFonts w:ascii="Times New Roman" w:hAnsi="Times New Roman" w:hint="eastAsia"/>
          <w:iCs/>
          <w:sz w:val="24"/>
        </w:rPr>
        <w:t>》</w:t>
      </w:r>
      <w:proofErr w:type="gramEnd"/>
      <w:r w:rsidRPr="00D55E4D">
        <w:rPr>
          <w:rFonts w:ascii="Times New Roman" w:hAnsi="Times New Roman" w:hint="eastAsia"/>
          <w:iCs/>
          <w:sz w:val="24"/>
        </w:rPr>
        <w:t>等</w:t>
      </w:r>
      <w:r w:rsidRPr="00D55E4D">
        <w:rPr>
          <w:rFonts w:ascii="Times New Roman" w:hAnsi="Times New Roman" w:hint="eastAsia"/>
          <w:iCs/>
          <w:sz w:val="24"/>
        </w:rPr>
        <w:t>13</w:t>
      </w:r>
      <w:r w:rsidRPr="00D55E4D">
        <w:rPr>
          <w:rFonts w:ascii="Times New Roman" w:hAnsi="Times New Roman" w:hint="eastAsia"/>
          <w:iCs/>
          <w:sz w:val="24"/>
        </w:rPr>
        <w:t>项团体标准计划的通知</w:t>
      </w:r>
      <w:proofErr w:type="gramStart"/>
      <w:r w:rsidRPr="007E3BC1">
        <w:rPr>
          <w:rFonts w:ascii="Times New Roman" w:hAnsi="Times New Roman"/>
          <w:iCs/>
          <w:sz w:val="24"/>
        </w:rPr>
        <w:t>》</w:t>
      </w:r>
      <w:proofErr w:type="gramEnd"/>
      <w:r w:rsidRPr="007E3BC1">
        <w:rPr>
          <w:rFonts w:ascii="Times New Roman" w:hAnsi="Times New Roman"/>
          <w:iCs/>
          <w:sz w:val="24"/>
        </w:rPr>
        <w:t>（船会</w:t>
      </w:r>
      <w:r w:rsidRPr="007E3BC1">
        <w:rPr>
          <w:rFonts w:ascii="Times New Roman" w:hAnsi="Times New Roman"/>
          <w:iCs/>
          <w:sz w:val="24"/>
        </w:rPr>
        <w:t>[202</w:t>
      </w:r>
      <w:r>
        <w:rPr>
          <w:rFonts w:ascii="Times New Roman" w:hAnsi="Times New Roman" w:hint="eastAsia"/>
          <w:iCs/>
          <w:sz w:val="24"/>
        </w:rPr>
        <w:t>4</w:t>
      </w:r>
      <w:r w:rsidRPr="007E3BC1">
        <w:rPr>
          <w:rFonts w:ascii="Times New Roman" w:hAnsi="Times New Roman"/>
          <w:iCs/>
          <w:sz w:val="24"/>
        </w:rPr>
        <w:t>]</w:t>
      </w:r>
      <w:r>
        <w:rPr>
          <w:rFonts w:ascii="Times New Roman" w:hAnsi="Times New Roman"/>
          <w:iCs/>
          <w:sz w:val="24"/>
        </w:rPr>
        <w:t>79</w:t>
      </w:r>
      <w:r w:rsidRPr="007E3BC1">
        <w:rPr>
          <w:rFonts w:ascii="Times New Roman" w:hAnsi="Times New Roman"/>
          <w:iCs/>
          <w:sz w:val="24"/>
        </w:rPr>
        <w:t>号）于</w:t>
      </w:r>
      <w:r w:rsidRPr="007E3BC1">
        <w:rPr>
          <w:rFonts w:ascii="Times New Roman" w:hAnsi="Times New Roman"/>
          <w:iCs/>
          <w:sz w:val="24"/>
        </w:rPr>
        <w:t>202</w:t>
      </w:r>
      <w:r>
        <w:rPr>
          <w:rFonts w:ascii="Times New Roman" w:hAnsi="Times New Roman"/>
          <w:iCs/>
          <w:sz w:val="24"/>
        </w:rPr>
        <w:t>4</w:t>
      </w:r>
      <w:r>
        <w:rPr>
          <w:rFonts w:ascii="Times New Roman" w:hAnsi="Times New Roman" w:hint="eastAsia"/>
          <w:iCs/>
          <w:sz w:val="24"/>
        </w:rPr>
        <w:t xml:space="preserve"> </w:t>
      </w:r>
      <w:r w:rsidRPr="007E3BC1">
        <w:rPr>
          <w:rFonts w:ascii="Times New Roman" w:hAnsi="Times New Roman"/>
          <w:iCs/>
          <w:sz w:val="24"/>
        </w:rPr>
        <w:t>年</w:t>
      </w:r>
      <w:r>
        <w:rPr>
          <w:rFonts w:ascii="Times New Roman" w:hAnsi="Times New Roman"/>
          <w:iCs/>
          <w:sz w:val="24"/>
        </w:rPr>
        <w:t>8</w:t>
      </w:r>
      <w:r w:rsidRPr="007E3BC1">
        <w:rPr>
          <w:rFonts w:ascii="Times New Roman" w:hAnsi="Times New Roman"/>
          <w:iCs/>
          <w:sz w:val="24"/>
        </w:rPr>
        <w:t>月</w:t>
      </w:r>
      <w:r>
        <w:rPr>
          <w:rFonts w:ascii="Times New Roman" w:hAnsi="Times New Roman"/>
          <w:iCs/>
          <w:sz w:val="24"/>
        </w:rPr>
        <w:t>1</w:t>
      </w:r>
      <w:r w:rsidRPr="007E3BC1">
        <w:rPr>
          <w:rFonts w:ascii="Times New Roman" w:hAnsi="Times New Roman"/>
          <w:iCs/>
          <w:sz w:val="24"/>
        </w:rPr>
        <w:t>日获准立项，由中国造船工程学会</w:t>
      </w:r>
      <w:r>
        <w:rPr>
          <w:rFonts w:ascii="Times New Roman" w:hAnsi="Times New Roman" w:hint="eastAsia"/>
          <w:iCs/>
          <w:sz w:val="24"/>
        </w:rPr>
        <w:t>标准化学术委员会</w:t>
      </w:r>
      <w:r w:rsidRPr="007E3BC1">
        <w:rPr>
          <w:rFonts w:ascii="Times New Roman" w:hAnsi="Times New Roman"/>
          <w:iCs/>
          <w:sz w:val="24"/>
        </w:rPr>
        <w:t>提出</w:t>
      </w:r>
      <w:r>
        <w:rPr>
          <w:rFonts w:ascii="Times New Roman" w:hAnsi="Times New Roman" w:hint="eastAsia"/>
          <w:iCs/>
          <w:sz w:val="24"/>
        </w:rPr>
        <w:t>，由中国造船工程学会</w:t>
      </w:r>
      <w:r w:rsidRPr="007E3BC1">
        <w:rPr>
          <w:rFonts w:ascii="Times New Roman" w:hAnsi="Times New Roman"/>
          <w:iCs/>
          <w:sz w:val="24"/>
        </w:rPr>
        <w:t>归口。</w:t>
      </w:r>
    </w:p>
    <w:p w14:paraId="47594C5C" w14:textId="77777777" w:rsidR="00CE0EFC" w:rsidRPr="005246A6" w:rsidRDefault="00CE0EFC" w:rsidP="00CE0EFC">
      <w:pPr>
        <w:spacing w:line="360" w:lineRule="auto"/>
        <w:jc w:val="left"/>
        <w:rPr>
          <w:rFonts w:hAnsiTheme="minorEastAsia"/>
          <w:b/>
          <w:sz w:val="24"/>
        </w:rPr>
      </w:pPr>
      <w:r w:rsidRPr="005246A6">
        <w:rPr>
          <w:rFonts w:ascii="宋体" w:eastAsia="宋体" w:hAnsi="宋体" w:hint="eastAsia"/>
          <w:b/>
          <w:sz w:val="24"/>
        </w:rPr>
        <w:t>（二）标准的研究、起草过程</w:t>
      </w:r>
    </w:p>
    <w:p w14:paraId="02CDF7C7" w14:textId="481992D2" w:rsidR="00D85C8B" w:rsidRPr="005A04DC" w:rsidRDefault="00D85C8B" w:rsidP="00D85C8B">
      <w:pPr>
        <w:spacing w:line="360" w:lineRule="auto"/>
        <w:ind w:firstLineChars="200" w:firstLine="480"/>
        <w:jc w:val="left"/>
        <w:rPr>
          <w:rFonts w:hAnsiTheme="minorEastAsia"/>
          <w:sz w:val="24"/>
        </w:rPr>
      </w:pPr>
      <w:r w:rsidRPr="005A04DC">
        <w:rPr>
          <w:rFonts w:hAnsiTheme="minorEastAsia" w:hint="eastAsia"/>
          <w:sz w:val="24"/>
        </w:rPr>
        <w:t>2024年</w:t>
      </w:r>
      <w:r w:rsidRPr="005A04DC">
        <w:rPr>
          <w:rFonts w:hAnsiTheme="minorEastAsia"/>
          <w:sz w:val="24"/>
        </w:rPr>
        <w:t>3</w:t>
      </w:r>
      <w:r w:rsidRPr="005A04DC">
        <w:rPr>
          <w:rFonts w:hAnsiTheme="minorEastAsia" w:hint="eastAsia"/>
          <w:sz w:val="24"/>
        </w:rPr>
        <w:t>月-</w:t>
      </w:r>
      <w:r w:rsidRPr="005A04DC">
        <w:rPr>
          <w:rFonts w:hAnsiTheme="minorEastAsia"/>
          <w:sz w:val="24"/>
        </w:rPr>
        <w:t>6</w:t>
      </w:r>
      <w:r w:rsidRPr="005A04DC">
        <w:rPr>
          <w:rFonts w:hAnsiTheme="minorEastAsia" w:hint="eastAsia"/>
          <w:sz w:val="24"/>
        </w:rPr>
        <w:t>月，</w:t>
      </w:r>
      <w:r w:rsidR="00511F84" w:rsidRPr="005A04DC">
        <w:rPr>
          <w:rFonts w:hint="eastAsia"/>
          <w:sz w:val="24"/>
        </w:rPr>
        <w:t>中远海运能源运输股份有限公司</w:t>
      </w:r>
      <w:r w:rsidRPr="005A04DC">
        <w:rPr>
          <w:rFonts w:hAnsiTheme="minorEastAsia" w:hint="eastAsia"/>
          <w:sz w:val="24"/>
        </w:rPr>
        <w:t>成立标准编制组，根据</w:t>
      </w:r>
      <w:r w:rsidRPr="005A04DC">
        <w:rPr>
          <w:rFonts w:ascii="Times New Roman" w:hAnsi="Times New Roman" w:hint="eastAsia"/>
          <w:iCs/>
          <w:sz w:val="24"/>
        </w:rPr>
        <w:t>绿色智能船舶排放监测与管控技术研究科研项目</w:t>
      </w:r>
      <w:r w:rsidRPr="005A04DC">
        <w:rPr>
          <w:rFonts w:ascii="Times New Roman" w:hAnsi="Times New Roman" w:hint="eastAsia"/>
          <w:iCs/>
          <w:sz w:val="24"/>
        </w:rPr>
        <w:t>/</w:t>
      </w:r>
      <w:r w:rsidRPr="005A04DC">
        <w:rPr>
          <w:rFonts w:ascii="Times New Roman" w:hAnsi="Times New Roman" w:hint="eastAsia"/>
          <w:iCs/>
          <w:sz w:val="24"/>
        </w:rPr>
        <w:t>实船项目</w:t>
      </w:r>
      <w:r w:rsidRPr="005A04DC">
        <w:rPr>
          <w:rFonts w:hAnsiTheme="minorEastAsia" w:hint="eastAsia"/>
          <w:sz w:val="24"/>
        </w:rPr>
        <w:t>，总结、整理了的相关工艺要求和技术参数，形成了标准草案。</w:t>
      </w:r>
    </w:p>
    <w:p w14:paraId="32A74A5C" w14:textId="689DFB00" w:rsidR="00D85C8B" w:rsidRPr="005A04DC" w:rsidRDefault="00D85C8B" w:rsidP="00D85C8B">
      <w:pPr>
        <w:spacing w:line="360" w:lineRule="auto"/>
        <w:ind w:firstLineChars="200" w:firstLine="480"/>
        <w:jc w:val="left"/>
        <w:rPr>
          <w:rFonts w:hAnsiTheme="minorEastAsia"/>
          <w:sz w:val="24"/>
        </w:rPr>
      </w:pPr>
      <w:r w:rsidRPr="005A04DC">
        <w:rPr>
          <w:rFonts w:hAnsiTheme="minorEastAsia" w:hint="eastAsia"/>
          <w:sz w:val="24"/>
        </w:rPr>
        <w:t>2024年</w:t>
      </w:r>
      <w:r w:rsidRPr="005A04DC">
        <w:rPr>
          <w:rFonts w:hAnsiTheme="minorEastAsia"/>
          <w:sz w:val="24"/>
        </w:rPr>
        <w:t>6</w:t>
      </w:r>
      <w:r w:rsidRPr="005A04DC">
        <w:rPr>
          <w:rFonts w:hAnsiTheme="minorEastAsia" w:hint="eastAsia"/>
          <w:sz w:val="24"/>
        </w:rPr>
        <w:t>月-</w:t>
      </w:r>
      <w:r w:rsidRPr="005A04DC">
        <w:rPr>
          <w:rFonts w:hAnsiTheme="minorEastAsia"/>
          <w:sz w:val="24"/>
        </w:rPr>
        <w:t>8</w:t>
      </w:r>
      <w:r w:rsidRPr="005A04DC">
        <w:rPr>
          <w:rFonts w:hAnsiTheme="minorEastAsia" w:hint="eastAsia"/>
          <w:sz w:val="24"/>
        </w:rPr>
        <w:t>月，标准化学术委员会组织有关专家召开标准立项评审会，《</w:t>
      </w:r>
      <w:r w:rsidRPr="005A04DC">
        <w:rPr>
          <w:rFonts w:hint="eastAsia"/>
          <w:sz w:val="24"/>
          <w:szCs w:val="24"/>
        </w:rPr>
        <w:t>船用新燃料动力设备能效基值与分级原则</w:t>
      </w:r>
      <w:r w:rsidRPr="005A04DC">
        <w:rPr>
          <w:rFonts w:hAnsiTheme="minorEastAsia" w:hint="eastAsia"/>
          <w:sz w:val="24"/>
        </w:rPr>
        <w:t>》正式立项，并于中国造船工程学</w:t>
      </w:r>
      <w:proofErr w:type="gramStart"/>
      <w:r w:rsidRPr="005A04DC">
        <w:rPr>
          <w:rFonts w:hAnsiTheme="minorEastAsia" w:hint="eastAsia"/>
          <w:sz w:val="24"/>
        </w:rPr>
        <w:t>会官网</w:t>
      </w:r>
      <w:proofErr w:type="gramEnd"/>
      <w:r w:rsidRPr="005A04DC">
        <w:rPr>
          <w:rFonts w:hAnsiTheme="minorEastAsia" w:hint="eastAsia"/>
          <w:sz w:val="24"/>
        </w:rPr>
        <w:t>完成立项公示。</w:t>
      </w:r>
    </w:p>
    <w:p w14:paraId="5FCB9755" w14:textId="3B118D0A" w:rsidR="00D85C8B" w:rsidRPr="005A04DC" w:rsidRDefault="00D85C8B" w:rsidP="00D85C8B">
      <w:pPr>
        <w:spacing w:line="360" w:lineRule="auto"/>
        <w:ind w:firstLineChars="200" w:firstLine="480"/>
        <w:jc w:val="left"/>
        <w:rPr>
          <w:rFonts w:hAnsiTheme="minorEastAsia"/>
          <w:sz w:val="24"/>
        </w:rPr>
      </w:pPr>
      <w:r w:rsidRPr="005A04DC">
        <w:rPr>
          <w:rFonts w:hAnsiTheme="minorEastAsia" w:hint="eastAsia"/>
          <w:sz w:val="24"/>
        </w:rPr>
        <w:t>2024年8月-</w:t>
      </w:r>
      <w:r w:rsidRPr="005A04DC">
        <w:rPr>
          <w:rFonts w:hint="eastAsia"/>
          <w:sz w:val="24"/>
          <w:szCs w:val="24"/>
        </w:rPr>
        <w:t>2024年9月</w:t>
      </w:r>
      <w:r w:rsidRPr="005A04DC">
        <w:rPr>
          <w:rFonts w:hAnsiTheme="minorEastAsia" w:hint="eastAsia"/>
          <w:sz w:val="24"/>
        </w:rPr>
        <w:t>，编制组对专家意见逐一进行讨论，一共</w:t>
      </w:r>
      <w:r w:rsidR="001E328F">
        <w:rPr>
          <w:rFonts w:hAnsiTheme="minorEastAsia"/>
          <w:sz w:val="24"/>
        </w:rPr>
        <w:t>21</w:t>
      </w:r>
      <w:r w:rsidRPr="005A04DC">
        <w:rPr>
          <w:rFonts w:hAnsiTheme="minorEastAsia" w:hint="eastAsia"/>
          <w:sz w:val="24"/>
        </w:rPr>
        <w:t>条意见，其中采纳</w:t>
      </w:r>
      <w:r w:rsidR="001E328F">
        <w:rPr>
          <w:rFonts w:hAnsiTheme="minorEastAsia"/>
          <w:sz w:val="24"/>
        </w:rPr>
        <w:t>21</w:t>
      </w:r>
      <w:r w:rsidRPr="005A04DC">
        <w:rPr>
          <w:rFonts w:hAnsiTheme="minorEastAsia" w:hint="eastAsia"/>
          <w:sz w:val="24"/>
        </w:rPr>
        <w:t>条。编制组根据意见修改完善标准形成征求意见稿和编制说明（征求意见稿）。</w:t>
      </w:r>
    </w:p>
    <w:p w14:paraId="0F53F1D3" w14:textId="6640D22B" w:rsidR="00CE0EFC" w:rsidRPr="001B3300" w:rsidRDefault="00CE0EFC" w:rsidP="00D85C8B">
      <w:pPr>
        <w:spacing w:line="360" w:lineRule="auto"/>
        <w:jc w:val="left"/>
        <w:rPr>
          <w:rFonts w:hAnsiTheme="minorEastAsia"/>
          <w:b/>
          <w:color w:val="000000" w:themeColor="text1"/>
          <w:sz w:val="24"/>
        </w:rPr>
      </w:pPr>
      <w:r w:rsidRPr="001B3300">
        <w:rPr>
          <w:rFonts w:hAnsiTheme="minorEastAsia" w:hint="eastAsia"/>
          <w:b/>
          <w:color w:val="000000" w:themeColor="text1"/>
          <w:sz w:val="24"/>
        </w:rPr>
        <w:t>二、标准编制原则及主要技术内容</w:t>
      </w:r>
    </w:p>
    <w:p w14:paraId="2270E054" w14:textId="77777777" w:rsidR="00CE0EFC" w:rsidRPr="001B3300" w:rsidRDefault="00CE0EFC" w:rsidP="00CE0EFC">
      <w:pPr>
        <w:spacing w:line="360" w:lineRule="auto"/>
        <w:jc w:val="left"/>
        <w:rPr>
          <w:rFonts w:ascii="宋体" w:hAnsi="宋体"/>
          <w:b/>
          <w:color w:val="000000" w:themeColor="text1"/>
          <w:sz w:val="24"/>
        </w:rPr>
      </w:pPr>
      <w:r w:rsidRPr="001B3300">
        <w:rPr>
          <w:rFonts w:ascii="宋体" w:eastAsia="宋体" w:hAnsi="宋体" w:hint="eastAsia"/>
          <w:b/>
          <w:color w:val="000000" w:themeColor="text1"/>
          <w:sz w:val="24"/>
        </w:rPr>
        <w:t>（一）</w:t>
      </w:r>
      <w:r w:rsidRPr="001B3300">
        <w:rPr>
          <w:rFonts w:ascii="宋体" w:hAnsi="宋体" w:hint="eastAsia"/>
          <w:b/>
          <w:color w:val="000000" w:themeColor="text1"/>
          <w:sz w:val="24"/>
        </w:rPr>
        <w:t>编制原则</w:t>
      </w:r>
    </w:p>
    <w:p w14:paraId="47FF84DE" w14:textId="77777777" w:rsidR="009D78AC" w:rsidRPr="007E3BC1" w:rsidRDefault="009D78AC" w:rsidP="009D78AC">
      <w:pPr>
        <w:spacing w:line="360" w:lineRule="auto"/>
        <w:ind w:firstLineChars="200" w:firstLine="480"/>
        <w:jc w:val="left"/>
        <w:rPr>
          <w:sz w:val="24"/>
          <w:szCs w:val="24"/>
        </w:rPr>
      </w:pPr>
      <w:r w:rsidRPr="007E3BC1">
        <w:rPr>
          <w:rFonts w:hint="eastAsia"/>
          <w:sz w:val="24"/>
          <w:szCs w:val="24"/>
        </w:rPr>
        <w:t>1.规范性</w:t>
      </w:r>
    </w:p>
    <w:p w14:paraId="3099109E" w14:textId="30B32A95" w:rsidR="009D78AC" w:rsidRPr="007E3BC1" w:rsidRDefault="009D78AC" w:rsidP="009D78AC">
      <w:pPr>
        <w:spacing w:line="360" w:lineRule="auto"/>
        <w:ind w:firstLineChars="200" w:firstLine="480"/>
        <w:jc w:val="left"/>
        <w:rPr>
          <w:sz w:val="24"/>
          <w:szCs w:val="24"/>
        </w:rPr>
      </w:pPr>
      <w:r w:rsidRPr="007E3BC1">
        <w:rPr>
          <w:rFonts w:hint="eastAsia"/>
          <w:sz w:val="24"/>
          <w:szCs w:val="24"/>
        </w:rPr>
        <w:t>本标准按照GB/T 1.1－2020</w:t>
      </w:r>
      <w:r w:rsidRPr="0094212E">
        <w:rPr>
          <w:rFonts w:hint="eastAsia"/>
          <w:sz w:val="24"/>
          <w:szCs w:val="24"/>
        </w:rPr>
        <w:t xml:space="preserve">《标准化工作导则第1 </w:t>
      </w:r>
      <w:r w:rsidRPr="007741BB">
        <w:rPr>
          <w:rFonts w:hint="eastAsia"/>
          <w:sz w:val="24"/>
          <w:szCs w:val="24"/>
        </w:rPr>
        <w:t>部分：标准化文件的结构和起草规则</w:t>
      </w:r>
      <w:proofErr w:type="gramStart"/>
      <w:r w:rsidRPr="007741BB">
        <w:rPr>
          <w:rFonts w:hint="eastAsia"/>
          <w:sz w:val="24"/>
          <w:szCs w:val="24"/>
        </w:rPr>
        <w:t>》</w:t>
      </w:r>
      <w:proofErr w:type="gramEnd"/>
      <w:r w:rsidRPr="007741BB">
        <w:rPr>
          <w:rFonts w:hint="eastAsia"/>
          <w:sz w:val="24"/>
          <w:szCs w:val="24"/>
        </w:rPr>
        <w:t>和</w:t>
      </w:r>
      <w:bookmarkStart w:id="1" w:name="_Hlk181437330"/>
      <w:r w:rsidR="00D443C9" w:rsidRPr="007741BB">
        <w:rPr>
          <w:rFonts w:hint="eastAsia"/>
          <w:sz w:val="24"/>
          <w:szCs w:val="24"/>
        </w:rPr>
        <w:t>GB/T</w:t>
      </w:r>
      <w:r w:rsidR="00D443C9" w:rsidRPr="007741BB">
        <w:rPr>
          <w:sz w:val="24"/>
          <w:szCs w:val="24"/>
        </w:rPr>
        <w:t xml:space="preserve"> 20001.</w:t>
      </w:r>
      <w:r w:rsidR="00D443C9">
        <w:rPr>
          <w:sz w:val="24"/>
          <w:szCs w:val="24"/>
        </w:rPr>
        <w:t>10</w:t>
      </w:r>
      <w:r w:rsidR="00D443C9" w:rsidRPr="007741BB">
        <w:rPr>
          <w:sz w:val="24"/>
          <w:szCs w:val="24"/>
        </w:rPr>
        <w:t>-201</w:t>
      </w:r>
      <w:r w:rsidR="00D443C9">
        <w:rPr>
          <w:sz w:val="24"/>
          <w:szCs w:val="24"/>
        </w:rPr>
        <w:t>4</w:t>
      </w:r>
      <w:r w:rsidR="00D443C9" w:rsidRPr="007E3BC1">
        <w:rPr>
          <w:rFonts w:hint="eastAsia"/>
          <w:sz w:val="24"/>
          <w:szCs w:val="24"/>
        </w:rPr>
        <w:t xml:space="preserve"> </w:t>
      </w:r>
      <w:r w:rsidR="00D443C9">
        <w:rPr>
          <w:rFonts w:hint="eastAsia"/>
          <w:sz w:val="24"/>
          <w:szCs w:val="24"/>
        </w:rPr>
        <w:t>《</w:t>
      </w:r>
      <w:r w:rsidR="00D443C9" w:rsidRPr="007E3BC1">
        <w:rPr>
          <w:rFonts w:hint="eastAsia"/>
          <w:sz w:val="24"/>
          <w:szCs w:val="24"/>
        </w:rPr>
        <w:t xml:space="preserve">标准编写规则 </w:t>
      </w:r>
      <w:r w:rsidR="00D443C9" w:rsidRPr="008440BD">
        <w:rPr>
          <w:rFonts w:hint="eastAsia"/>
          <w:sz w:val="24"/>
          <w:szCs w:val="24"/>
        </w:rPr>
        <w:t>第4部分：产品标准</w:t>
      </w:r>
      <w:r w:rsidR="00D443C9">
        <w:rPr>
          <w:rFonts w:hint="eastAsia"/>
          <w:sz w:val="24"/>
          <w:szCs w:val="24"/>
        </w:rPr>
        <w:t>》</w:t>
      </w:r>
      <w:bookmarkEnd w:id="1"/>
      <w:r w:rsidR="00D443C9" w:rsidRPr="007E3BC1">
        <w:rPr>
          <w:rFonts w:hint="eastAsia"/>
          <w:sz w:val="24"/>
          <w:szCs w:val="24"/>
        </w:rPr>
        <w:t>进行编写</w:t>
      </w:r>
      <w:r w:rsidRPr="007E3BC1">
        <w:rPr>
          <w:rFonts w:hint="eastAsia"/>
          <w:sz w:val="24"/>
          <w:szCs w:val="24"/>
        </w:rPr>
        <w:t>。</w:t>
      </w:r>
    </w:p>
    <w:p w14:paraId="7B1F3A50" w14:textId="77777777" w:rsidR="009D78AC" w:rsidRPr="007E3BC1" w:rsidRDefault="009D78AC" w:rsidP="009D78AC">
      <w:pPr>
        <w:spacing w:line="360" w:lineRule="auto"/>
        <w:ind w:firstLineChars="200" w:firstLine="480"/>
        <w:jc w:val="left"/>
        <w:rPr>
          <w:sz w:val="24"/>
          <w:szCs w:val="24"/>
        </w:rPr>
      </w:pPr>
      <w:r w:rsidRPr="007E3BC1">
        <w:rPr>
          <w:rFonts w:hint="eastAsia"/>
          <w:sz w:val="24"/>
          <w:szCs w:val="24"/>
        </w:rPr>
        <w:t>2．先进性</w:t>
      </w:r>
    </w:p>
    <w:p w14:paraId="780D02C0" w14:textId="59155B9A" w:rsidR="009D78AC" w:rsidRPr="00B558AB" w:rsidRDefault="0056435C" w:rsidP="009D78AC">
      <w:pPr>
        <w:spacing w:line="360" w:lineRule="auto"/>
        <w:ind w:firstLineChars="200" w:firstLine="480"/>
        <w:jc w:val="left"/>
        <w:rPr>
          <w:sz w:val="24"/>
          <w:szCs w:val="24"/>
        </w:rPr>
      </w:pPr>
      <w:r w:rsidRPr="007E3BC1">
        <w:rPr>
          <w:rFonts w:hint="eastAsia"/>
          <w:sz w:val="24"/>
          <w:szCs w:val="24"/>
        </w:rPr>
        <w:t>本标准是在总结</w:t>
      </w:r>
      <w:r w:rsidRPr="0076587E">
        <w:rPr>
          <w:rFonts w:hint="eastAsia"/>
          <w:sz w:val="24"/>
          <w:szCs w:val="24"/>
        </w:rPr>
        <w:t>绿色智能船舶排放监测与管控技术研究</w:t>
      </w:r>
      <w:r>
        <w:rPr>
          <w:rFonts w:hint="eastAsia"/>
          <w:sz w:val="24"/>
          <w:szCs w:val="24"/>
        </w:rPr>
        <w:t>项目新燃料动力设备相关内容并经实船测试试验验证的基础上取得的成果。</w:t>
      </w:r>
    </w:p>
    <w:p w14:paraId="262F6AF9" w14:textId="6FB0253F" w:rsidR="009D78AC" w:rsidRPr="007E3BC1" w:rsidRDefault="009D78AC" w:rsidP="009D78AC">
      <w:pPr>
        <w:spacing w:line="360" w:lineRule="auto"/>
        <w:ind w:firstLineChars="200" w:firstLine="480"/>
        <w:jc w:val="left"/>
        <w:rPr>
          <w:sz w:val="24"/>
          <w:szCs w:val="24"/>
        </w:rPr>
      </w:pPr>
      <w:r w:rsidRPr="007E3BC1">
        <w:rPr>
          <w:rFonts w:hint="eastAsia"/>
          <w:sz w:val="24"/>
          <w:szCs w:val="24"/>
        </w:rPr>
        <w:lastRenderedPageBreak/>
        <w:t>3.协调性</w:t>
      </w:r>
    </w:p>
    <w:p w14:paraId="0427A99A" w14:textId="77777777" w:rsidR="009D78AC" w:rsidRDefault="009D78AC" w:rsidP="009D78AC">
      <w:pPr>
        <w:spacing w:line="360" w:lineRule="auto"/>
        <w:ind w:firstLineChars="200" w:firstLine="480"/>
        <w:jc w:val="left"/>
        <w:rPr>
          <w:sz w:val="24"/>
          <w:szCs w:val="24"/>
        </w:rPr>
      </w:pPr>
      <w:r w:rsidRPr="007E3BC1">
        <w:rPr>
          <w:rFonts w:hint="eastAsia"/>
          <w:sz w:val="24"/>
          <w:szCs w:val="24"/>
        </w:rPr>
        <w:t>本标准提出的产品要求与国家、行业标准中的产品标准与船级社规范要求协调统一。</w:t>
      </w:r>
    </w:p>
    <w:p w14:paraId="3834B909" w14:textId="77777777" w:rsidR="00CE0EFC" w:rsidRPr="001B3300" w:rsidRDefault="00CE0EFC" w:rsidP="00CE0EFC">
      <w:pPr>
        <w:spacing w:line="360" w:lineRule="auto"/>
        <w:jc w:val="left"/>
        <w:rPr>
          <w:rFonts w:ascii="宋体" w:hAnsi="宋体"/>
          <w:b/>
          <w:color w:val="000000" w:themeColor="text1"/>
          <w:sz w:val="24"/>
        </w:rPr>
      </w:pPr>
      <w:r w:rsidRPr="001B3300">
        <w:rPr>
          <w:rFonts w:ascii="宋体" w:hAnsi="宋体" w:hint="eastAsia"/>
          <w:b/>
          <w:color w:val="000000" w:themeColor="text1"/>
          <w:sz w:val="24"/>
        </w:rPr>
        <w:t>（二）标准主要内容</w:t>
      </w:r>
    </w:p>
    <w:p w14:paraId="26EA7B70" w14:textId="50E33DD6" w:rsidR="002925D6" w:rsidRPr="002925D6" w:rsidRDefault="002925D6" w:rsidP="002925D6">
      <w:pPr>
        <w:spacing w:line="360" w:lineRule="auto"/>
        <w:ind w:firstLineChars="200" w:firstLine="480"/>
        <w:jc w:val="left"/>
        <w:rPr>
          <w:rFonts w:hAnsiTheme="minorEastAsia"/>
          <w:color w:val="000000" w:themeColor="text1"/>
          <w:sz w:val="24"/>
        </w:rPr>
      </w:pPr>
      <w:r w:rsidRPr="002925D6">
        <w:rPr>
          <w:rFonts w:hAnsiTheme="minorEastAsia" w:hint="eastAsia"/>
          <w:color w:val="000000" w:themeColor="text1"/>
          <w:sz w:val="24"/>
        </w:rPr>
        <w:t>本文件规定了船用新燃料动力设备</w:t>
      </w:r>
      <w:r w:rsidR="00BF0956" w:rsidRPr="005246A6">
        <w:rPr>
          <w:rFonts w:hint="eastAsia"/>
          <w:sz w:val="24"/>
          <w:szCs w:val="24"/>
        </w:rPr>
        <w:t>能效</w:t>
      </w:r>
      <w:r w:rsidR="00BF0956">
        <w:rPr>
          <w:rFonts w:hint="eastAsia"/>
          <w:sz w:val="24"/>
          <w:szCs w:val="24"/>
        </w:rPr>
        <w:t>基值与分级原则</w:t>
      </w:r>
      <w:r w:rsidRPr="002925D6">
        <w:rPr>
          <w:rFonts w:hAnsiTheme="minorEastAsia" w:hint="eastAsia"/>
          <w:color w:val="000000" w:themeColor="text1"/>
          <w:sz w:val="24"/>
        </w:rPr>
        <w:t>。</w:t>
      </w:r>
    </w:p>
    <w:p w14:paraId="63441014" w14:textId="0C8E35F5" w:rsidR="00AB3C19" w:rsidRPr="00AB3C19" w:rsidRDefault="002925D6" w:rsidP="002925D6">
      <w:pPr>
        <w:spacing w:line="360" w:lineRule="auto"/>
        <w:ind w:firstLineChars="200" w:firstLine="480"/>
        <w:jc w:val="left"/>
        <w:rPr>
          <w:rFonts w:hAnsiTheme="minorEastAsia"/>
          <w:color w:val="000000" w:themeColor="text1"/>
          <w:sz w:val="24"/>
        </w:rPr>
      </w:pPr>
      <w:r w:rsidRPr="002925D6">
        <w:rPr>
          <w:rFonts w:hAnsiTheme="minorEastAsia" w:hint="eastAsia"/>
          <w:color w:val="000000" w:themeColor="text1"/>
          <w:sz w:val="24"/>
        </w:rPr>
        <w:t>本文件适用于船用新燃料动力设备的能效评估和节能潜力分析。</w:t>
      </w:r>
    </w:p>
    <w:p w14:paraId="3388F10F" w14:textId="77777777" w:rsidR="00CE0EFC" w:rsidRPr="00743392" w:rsidRDefault="00CE0EFC" w:rsidP="00CE0EFC">
      <w:pPr>
        <w:spacing w:line="360" w:lineRule="auto"/>
        <w:jc w:val="left"/>
        <w:rPr>
          <w:rFonts w:ascii="宋体" w:hAnsi="宋体"/>
          <w:b/>
          <w:sz w:val="24"/>
        </w:rPr>
      </w:pPr>
      <w:r w:rsidRPr="00743392">
        <w:rPr>
          <w:rFonts w:ascii="宋体" w:hAnsi="宋体" w:hint="eastAsia"/>
          <w:b/>
          <w:sz w:val="24"/>
        </w:rPr>
        <w:t>（三）主要技术指标确定依据</w:t>
      </w:r>
    </w:p>
    <w:p w14:paraId="6D2BB6A3" w14:textId="32B42A26" w:rsidR="00AB3C19" w:rsidRPr="00743392" w:rsidRDefault="00AB3C19" w:rsidP="00AB3C19">
      <w:pPr>
        <w:spacing w:line="360" w:lineRule="auto"/>
        <w:ind w:firstLineChars="200" w:firstLine="480"/>
        <w:jc w:val="left"/>
        <w:rPr>
          <w:rFonts w:hAnsiTheme="minorEastAsia"/>
          <w:sz w:val="24"/>
        </w:rPr>
      </w:pPr>
      <w:r w:rsidRPr="00743392">
        <w:rPr>
          <w:rFonts w:hAnsiTheme="minorEastAsia" w:hint="eastAsia"/>
          <w:sz w:val="24"/>
        </w:rPr>
        <w:t>本标准的主要技术指标确定依据如下：</w:t>
      </w:r>
    </w:p>
    <w:p w14:paraId="75AAE098" w14:textId="14E9E82E" w:rsidR="00EC329E" w:rsidRPr="00743392" w:rsidRDefault="00743392" w:rsidP="002B1681">
      <w:pPr>
        <w:spacing w:line="360" w:lineRule="auto"/>
        <w:ind w:firstLineChars="200" w:firstLine="480"/>
        <w:jc w:val="left"/>
        <w:rPr>
          <w:rFonts w:hAnsiTheme="minorEastAsia"/>
          <w:sz w:val="24"/>
        </w:rPr>
      </w:pPr>
      <w:r>
        <w:rPr>
          <w:rFonts w:hAnsiTheme="minorEastAsia" w:hint="eastAsia"/>
          <w:sz w:val="24"/>
        </w:rPr>
        <w:t>新燃料动力设备</w:t>
      </w:r>
      <w:r w:rsidR="00630376" w:rsidRPr="00743392">
        <w:rPr>
          <w:rFonts w:hAnsiTheme="minorEastAsia" w:hint="eastAsia"/>
          <w:sz w:val="24"/>
        </w:rPr>
        <w:t>能效</w:t>
      </w:r>
      <w:r w:rsidR="00551D5A">
        <w:rPr>
          <w:rFonts w:hAnsiTheme="minorEastAsia" w:hint="eastAsia"/>
          <w:sz w:val="24"/>
        </w:rPr>
        <w:t>基值和能效</w:t>
      </w:r>
      <w:r w:rsidR="00630376" w:rsidRPr="00743392">
        <w:rPr>
          <w:rFonts w:hAnsiTheme="minorEastAsia" w:hint="eastAsia"/>
          <w:sz w:val="24"/>
        </w:rPr>
        <w:t>等级</w:t>
      </w:r>
      <w:r w:rsidR="00EC329E" w:rsidRPr="00743392">
        <w:rPr>
          <w:rFonts w:hAnsiTheme="minorEastAsia" w:hint="eastAsia"/>
          <w:sz w:val="24"/>
        </w:rPr>
        <w:t>要求</w:t>
      </w:r>
      <w:r w:rsidR="001967F9" w:rsidRPr="00743392">
        <w:rPr>
          <w:rFonts w:hAnsiTheme="minorEastAsia"/>
          <w:sz w:val="24"/>
        </w:rPr>
        <w:t>：</w:t>
      </w:r>
      <w:r w:rsidR="007741BB" w:rsidRPr="00743392">
        <w:rPr>
          <w:rFonts w:hAnsiTheme="minorEastAsia" w:hint="eastAsia"/>
          <w:sz w:val="24"/>
        </w:rPr>
        <w:t>依据</w:t>
      </w:r>
      <w:r w:rsidR="00630376" w:rsidRPr="00743392">
        <w:rPr>
          <w:rFonts w:hAnsiTheme="minorEastAsia" w:hint="eastAsia"/>
          <w:sz w:val="24"/>
        </w:rPr>
        <w:t>QB/T 5893-2023 食具消毒柜能效限定值及能效等级</w:t>
      </w:r>
      <w:r w:rsidR="00EC329E" w:rsidRPr="00743392">
        <w:rPr>
          <w:rFonts w:hAnsiTheme="minorEastAsia" w:hint="eastAsia"/>
          <w:sz w:val="24"/>
        </w:rPr>
        <w:t>标准和说明书</w:t>
      </w:r>
      <w:r w:rsidR="007741BB" w:rsidRPr="00743392">
        <w:rPr>
          <w:rFonts w:hAnsiTheme="minorEastAsia" w:hint="eastAsia"/>
          <w:sz w:val="24"/>
        </w:rPr>
        <w:t>，</w:t>
      </w:r>
      <w:r w:rsidR="00EC329E" w:rsidRPr="00743392">
        <w:rPr>
          <w:rFonts w:hAnsiTheme="minorEastAsia" w:hint="eastAsia"/>
          <w:sz w:val="24"/>
        </w:rPr>
        <w:t>结合</w:t>
      </w:r>
      <w:r w:rsidR="00630376" w:rsidRPr="00743392">
        <w:rPr>
          <w:rFonts w:hAnsiTheme="minorEastAsia" w:hint="eastAsia"/>
          <w:sz w:val="24"/>
        </w:rPr>
        <w:t>该标准给出的能效等级分类方法</w:t>
      </w:r>
      <w:r w:rsidR="00EC329E" w:rsidRPr="00743392">
        <w:rPr>
          <w:rFonts w:hAnsiTheme="minorEastAsia" w:hint="eastAsia"/>
          <w:sz w:val="24"/>
        </w:rPr>
        <w:t>，确认</w:t>
      </w:r>
      <w:r w:rsidR="00630376" w:rsidRPr="00743392">
        <w:rPr>
          <w:rFonts w:hAnsiTheme="minorEastAsia" w:hint="eastAsia"/>
          <w:sz w:val="24"/>
        </w:rPr>
        <w:t>面向新燃料动力设备的能效等级</w:t>
      </w:r>
      <w:r w:rsidR="00EC329E" w:rsidRPr="00743392">
        <w:rPr>
          <w:rFonts w:hAnsiTheme="minorEastAsia" w:hint="eastAsia"/>
          <w:sz w:val="24"/>
        </w:rPr>
        <w:t>。</w:t>
      </w:r>
      <w:r w:rsidR="00CE1384" w:rsidRPr="00743392">
        <w:rPr>
          <w:rFonts w:hAnsiTheme="minorEastAsia" w:hint="eastAsia"/>
          <w:sz w:val="24"/>
        </w:rPr>
        <w:t>具体来说，主要采用三级分类方法，选用MAN B&amp;W的1</w:t>
      </w:r>
      <w:r w:rsidR="00CE1384" w:rsidRPr="00743392">
        <w:rPr>
          <w:rFonts w:hAnsiTheme="minorEastAsia"/>
          <w:sz w:val="24"/>
        </w:rPr>
        <w:t>8</w:t>
      </w:r>
      <w:r w:rsidR="00CE1384" w:rsidRPr="00743392">
        <w:rPr>
          <w:rFonts w:hAnsiTheme="minorEastAsia" w:hint="eastAsia"/>
          <w:sz w:val="24"/>
        </w:rPr>
        <w:t>个机型作为研究对象展开对新燃料动力设备的能效等级进行评定，以新燃料发动机6</w:t>
      </w:r>
      <w:r w:rsidR="00CE1384" w:rsidRPr="00743392">
        <w:rPr>
          <w:rFonts w:hAnsiTheme="minorEastAsia"/>
          <w:sz w:val="24"/>
        </w:rPr>
        <w:t>5%</w:t>
      </w:r>
      <w:r w:rsidR="00CE1384" w:rsidRPr="00743392">
        <w:rPr>
          <w:rFonts w:hAnsiTheme="minorEastAsia" w:hint="eastAsia"/>
          <w:sz w:val="24"/>
        </w:rPr>
        <w:t>符合作为参考点为评价基准，并考虑两个NOx排放模式。</w:t>
      </w:r>
    </w:p>
    <w:p w14:paraId="4B9134B8" w14:textId="5CE7DF43" w:rsidR="004D100E" w:rsidRPr="00743392" w:rsidRDefault="00CE0EFC" w:rsidP="00682EFB">
      <w:pPr>
        <w:spacing w:line="360" w:lineRule="auto"/>
        <w:jc w:val="left"/>
        <w:rPr>
          <w:rFonts w:hAnsiTheme="minorEastAsia"/>
          <w:sz w:val="24"/>
        </w:rPr>
      </w:pPr>
      <w:r w:rsidRPr="00743392">
        <w:rPr>
          <w:rFonts w:hAnsiTheme="minorEastAsia" w:hint="eastAsia"/>
          <w:b/>
          <w:sz w:val="24"/>
        </w:rPr>
        <w:t>三、主要试验（验证）情况分析</w:t>
      </w:r>
    </w:p>
    <w:p w14:paraId="0C533818" w14:textId="77777777" w:rsidR="007E461C" w:rsidRDefault="007E461C" w:rsidP="005744CB">
      <w:pPr>
        <w:spacing w:line="360" w:lineRule="auto"/>
        <w:ind w:firstLineChars="200" w:firstLine="480"/>
        <w:jc w:val="left"/>
        <w:rPr>
          <w:sz w:val="24"/>
          <w:szCs w:val="24"/>
        </w:rPr>
      </w:pPr>
      <w:r>
        <w:rPr>
          <w:rFonts w:hint="eastAsia"/>
          <w:sz w:val="24"/>
          <w:szCs w:val="24"/>
        </w:rPr>
        <w:t>在“</w:t>
      </w:r>
      <w:r w:rsidRPr="00156454">
        <w:rPr>
          <w:rFonts w:ascii="Times New Roman" w:hAnsi="Times New Roman" w:hint="eastAsia"/>
          <w:iCs/>
          <w:sz w:val="24"/>
        </w:rPr>
        <w:t>绿色智能船舶排放监测与管控技术研究</w:t>
      </w:r>
      <w:r>
        <w:rPr>
          <w:rFonts w:hint="eastAsia"/>
          <w:sz w:val="24"/>
          <w:szCs w:val="24"/>
        </w:rPr>
        <w:t>项目”中，</w:t>
      </w:r>
      <w:r w:rsidR="00E239FF" w:rsidRPr="00743392">
        <w:rPr>
          <w:rFonts w:hint="eastAsia"/>
          <w:sz w:val="24"/>
          <w:szCs w:val="24"/>
        </w:rPr>
        <w:t>选用Win</w:t>
      </w:r>
      <w:r w:rsidR="00E239FF" w:rsidRPr="00743392">
        <w:rPr>
          <w:sz w:val="24"/>
          <w:szCs w:val="24"/>
        </w:rPr>
        <w:t xml:space="preserve"> </w:t>
      </w:r>
      <w:r w:rsidR="00E239FF" w:rsidRPr="00743392">
        <w:rPr>
          <w:rFonts w:hint="eastAsia"/>
          <w:sz w:val="24"/>
          <w:szCs w:val="24"/>
        </w:rPr>
        <w:t>GD</w:t>
      </w:r>
      <w:r w:rsidR="00E239FF" w:rsidRPr="00743392">
        <w:rPr>
          <w:sz w:val="24"/>
          <w:szCs w:val="24"/>
        </w:rPr>
        <w:t>8</w:t>
      </w:r>
      <w:r w:rsidR="00E239FF" w:rsidRPr="00743392">
        <w:rPr>
          <w:rFonts w:hint="eastAsia"/>
          <w:sz w:val="24"/>
          <w:szCs w:val="24"/>
        </w:rPr>
        <w:t>X</w:t>
      </w:r>
      <w:r w:rsidR="00E239FF" w:rsidRPr="00743392">
        <w:rPr>
          <w:sz w:val="24"/>
          <w:szCs w:val="24"/>
        </w:rPr>
        <w:t>52</w:t>
      </w:r>
      <w:r w:rsidR="00E239FF" w:rsidRPr="00743392">
        <w:rPr>
          <w:rFonts w:hint="eastAsia"/>
          <w:sz w:val="24"/>
          <w:szCs w:val="24"/>
        </w:rPr>
        <w:t>DF</w:t>
      </w:r>
      <w:r w:rsidR="00E239FF" w:rsidRPr="00743392">
        <w:rPr>
          <w:sz w:val="24"/>
          <w:szCs w:val="24"/>
        </w:rPr>
        <w:t>-</w:t>
      </w:r>
      <w:r w:rsidR="00E239FF" w:rsidRPr="00743392">
        <w:rPr>
          <w:rFonts w:hint="eastAsia"/>
          <w:sz w:val="24"/>
          <w:szCs w:val="24"/>
        </w:rPr>
        <w:t>A氨发动机进行验证，</w:t>
      </w:r>
      <w:r>
        <w:rPr>
          <w:rFonts w:hint="eastAsia"/>
          <w:sz w:val="24"/>
          <w:szCs w:val="24"/>
        </w:rPr>
        <w:t>监测数据见表1。</w:t>
      </w:r>
    </w:p>
    <w:p w14:paraId="58AA8E68" w14:textId="05D47F99" w:rsidR="00100F7B" w:rsidRPr="002644B1" w:rsidRDefault="00100F7B" w:rsidP="002644B1">
      <w:pPr>
        <w:spacing w:line="360" w:lineRule="auto"/>
        <w:ind w:firstLineChars="200" w:firstLine="420"/>
        <w:jc w:val="center"/>
        <w:rPr>
          <w:rFonts w:ascii="宋体" w:eastAsia="宋体" w:hAnsi="宋体"/>
        </w:rPr>
      </w:pPr>
      <w:r w:rsidRPr="002644B1">
        <w:rPr>
          <w:rFonts w:ascii="宋体" w:eastAsia="宋体" w:hAnsi="宋体" w:hint="eastAsia"/>
        </w:rPr>
        <w:t>表1</w:t>
      </w:r>
      <w:r w:rsidRPr="002644B1">
        <w:rPr>
          <w:rFonts w:ascii="宋体" w:eastAsia="宋体" w:hAnsi="宋体"/>
        </w:rPr>
        <w:t xml:space="preserve"> </w:t>
      </w:r>
      <w:r w:rsidRPr="002644B1">
        <w:rPr>
          <w:rFonts w:ascii="宋体" w:eastAsia="宋体" w:hAnsi="宋体" w:hint="eastAsia"/>
        </w:rPr>
        <w:t>Win</w:t>
      </w:r>
      <w:r w:rsidRPr="002644B1">
        <w:rPr>
          <w:rFonts w:ascii="宋体" w:eastAsia="宋体" w:hAnsi="宋体"/>
        </w:rPr>
        <w:t xml:space="preserve"> </w:t>
      </w:r>
      <w:r w:rsidRPr="002644B1">
        <w:rPr>
          <w:rFonts w:ascii="宋体" w:eastAsia="宋体" w:hAnsi="宋体" w:hint="eastAsia"/>
        </w:rPr>
        <w:t>GD</w:t>
      </w:r>
      <w:r w:rsidRPr="002644B1">
        <w:rPr>
          <w:rFonts w:ascii="宋体" w:eastAsia="宋体" w:hAnsi="宋体"/>
        </w:rPr>
        <w:t>8</w:t>
      </w:r>
      <w:r w:rsidRPr="002644B1">
        <w:rPr>
          <w:rFonts w:ascii="宋体" w:eastAsia="宋体" w:hAnsi="宋体" w:hint="eastAsia"/>
        </w:rPr>
        <w:t>X</w:t>
      </w:r>
      <w:r w:rsidRPr="002644B1">
        <w:rPr>
          <w:rFonts w:ascii="宋体" w:eastAsia="宋体" w:hAnsi="宋体"/>
        </w:rPr>
        <w:t>52</w:t>
      </w:r>
      <w:r w:rsidRPr="002644B1">
        <w:rPr>
          <w:rFonts w:ascii="宋体" w:eastAsia="宋体" w:hAnsi="宋体" w:hint="eastAsia"/>
        </w:rPr>
        <w:t>DF</w:t>
      </w:r>
      <w:r w:rsidRPr="002644B1">
        <w:rPr>
          <w:rFonts w:ascii="宋体" w:eastAsia="宋体" w:hAnsi="宋体"/>
        </w:rPr>
        <w:t>-</w:t>
      </w:r>
      <w:r w:rsidRPr="002644B1">
        <w:rPr>
          <w:rFonts w:ascii="宋体" w:eastAsia="宋体" w:hAnsi="宋体" w:hint="eastAsia"/>
        </w:rPr>
        <w:t>A氨发动机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568"/>
        <w:gridCol w:w="2243"/>
        <w:gridCol w:w="3143"/>
      </w:tblGrid>
      <w:tr w:rsidR="0022152D" w:rsidRPr="002644B1" w14:paraId="2EE69BEB" w14:textId="77777777" w:rsidTr="00100F7B">
        <w:trPr>
          <w:trHeight w:val="270"/>
        </w:trPr>
        <w:tc>
          <w:tcPr>
            <w:tcW w:w="809" w:type="pct"/>
            <w:shd w:val="clear" w:color="auto" w:fill="auto"/>
            <w:noWrap/>
            <w:vAlign w:val="bottom"/>
            <w:hideMark/>
          </w:tcPr>
          <w:p w14:paraId="1931014B" w14:textId="2928F0C5" w:rsidR="0022152D" w:rsidRPr="002644B1" w:rsidRDefault="0022152D" w:rsidP="0022152D">
            <w:pPr>
              <w:widowControl/>
              <w:jc w:val="left"/>
              <w:rPr>
                <w:rFonts w:hAnsiTheme="minorEastAsia" w:cs="宋体"/>
                <w:bCs/>
                <w:snapToGrid/>
                <w:color w:val="000000"/>
                <w:lang w:val="en-US"/>
              </w:rPr>
            </w:pPr>
            <w:r w:rsidRPr="002644B1">
              <w:rPr>
                <w:rFonts w:hAnsiTheme="minorEastAsia" w:cs="宋体" w:hint="eastAsia"/>
                <w:bCs/>
                <w:snapToGrid/>
                <w:color w:val="000000"/>
                <w:lang w:val="en-US"/>
              </w:rPr>
              <w:t>负荷</w:t>
            </w:r>
          </w:p>
        </w:tc>
        <w:tc>
          <w:tcPr>
            <w:tcW w:w="945" w:type="pct"/>
            <w:shd w:val="clear" w:color="auto" w:fill="auto"/>
            <w:noWrap/>
            <w:vAlign w:val="bottom"/>
            <w:hideMark/>
          </w:tcPr>
          <w:p w14:paraId="080B57EA" w14:textId="31F9993A" w:rsidR="0022152D" w:rsidRPr="002644B1" w:rsidRDefault="0022152D" w:rsidP="0022152D">
            <w:pPr>
              <w:widowControl/>
              <w:jc w:val="left"/>
              <w:rPr>
                <w:rFonts w:hAnsiTheme="minorEastAsia" w:cs="宋体"/>
                <w:bCs/>
                <w:snapToGrid/>
                <w:color w:val="000000"/>
                <w:lang w:val="en-US"/>
              </w:rPr>
            </w:pPr>
            <w:r w:rsidRPr="002644B1">
              <w:rPr>
                <w:rFonts w:hAnsiTheme="minorEastAsia" w:cs="宋体" w:hint="eastAsia"/>
                <w:bCs/>
                <w:snapToGrid/>
                <w:color w:val="000000"/>
                <w:lang w:val="en-US"/>
              </w:rPr>
              <w:t>功率</w:t>
            </w:r>
          </w:p>
        </w:tc>
        <w:tc>
          <w:tcPr>
            <w:tcW w:w="1352" w:type="pct"/>
            <w:shd w:val="clear" w:color="auto" w:fill="auto"/>
            <w:noWrap/>
            <w:vAlign w:val="bottom"/>
            <w:hideMark/>
          </w:tcPr>
          <w:p w14:paraId="2E856942" w14:textId="43C35C61" w:rsidR="0022152D" w:rsidRPr="002644B1" w:rsidRDefault="0022152D" w:rsidP="0022152D">
            <w:pPr>
              <w:widowControl/>
              <w:jc w:val="left"/>
              <w:rPr>
                <w:rFonts w:hAnsiTheme="minorEastAsia" w:cs="宋体"/>
                <w:bCs/>
                <w:snapToGrid/>
                <w:color w:val="000000"/>
                <w:lang w:val="en-US"/>
              </w:rPr>
            </w:pPr>
            <w:r w:rsidRPr="002644B1">
              <w:rPr>
                <w:rFonts w:hAnsiTheme="minorEastAsia" w:cs="宋体" w:hint="eastAsia"/>
                <w:bCs/>
                <w:snapToGrid/>
                <w:color w:val="000000"/>
                <w:lang w:val="en-US"/>
              </w:rPr>
              <w:t>氨消耗率</w:t>
            </w:r>
          </w:p>
        </w:tc>
        <w:tc>
          <w:tcPr>
            <w:tcW w:w="1894" w:type="pct"/>
            <w:shd w:val="clear" w:color="auto" w:fill="auto"/>
            <w:noWrap/>
            <w:vAlign w:val="bottom"/>
            <w:hideMark/>
          </w:tcPr>
          <w:p w14:paraId="4F23E3CA" w14:textId="5EA12413" w:rsidR="0022152D" w:rsidRPr="002644B1" w:rsidRDefault="0022152D" w:rsidP="0022152D">
            <w:pPr>
              <w:widowControl/>
              <w:jc w:val="left"/>
              <w:rPr>
                <w:rFonts w:hAnsiTheme="minorEastAsia" w:cs="宋体"/>
                <w:bCs/>
                <w:snapToGrid/>
                <w:color w:val="000000"/>
                <w:lang w:val="en-US"/>
              </w:rPr>
            </w:pPr>
            <w:r w:rsidRPr="002644B1">
              <w:rPr>
                <w:rFonts w:hAnsiTheme="minorEastAsia" w:cs="宋体" w:hint="eastAsia"/>
                <w:bCs/>
                <w:snapToGrid/>
                <w:color w:val="000000"/>
                <w:lang w:val="en-US"/>
              </w:rPr>
              <w:t>引燃油消耗率</w:t>
            </w:r>
          </w:p>
        </w:tc>
      </w:tr>
      <w:tr w:rsidR="0022152D" w:rsidRPr="002644B1" w14:paraId="35FA58C7" w14:textId="77777777" w:rsidTr="00100F7B">
        <w:trPr>
          <w:trHeight w:val="300"/>
        </w:trPr>
        <w:tc>
          <w:tcPr>
            <w:tcW w:w="809" w:type="pct"/>
            <w:shd w:val="clear" w:color="auto" w:fill="auto"/>
            <w:noWrap/>
            <w:vAlign w:val="bottom"/>
            <w:hideMark/>
          </w:tcPr>
          <w:p w14:paraId="1C2C0F8E" w14:textId="77777777" w:rsidR="0022152D" w:rsidRPr="002644B1" w:rsidRDefault="0022152D" w:rsidP="0022152D">
            <w:pPr>
              <w:widowControl/>
              <w:jc w:val="left"/>
              <w:rPr>
                <w:rFonts w:hAnsiTheme="minorEastAsia" w:cs="Calibri"/>
                <w:snapToGrid/>
                <w:color w:val="000000"/>
                <w:lang w:val="en-US"/>
              </w:rPr>
            </w:pPr>
            <w:r w:rsidRPr="002644B1">
              <w:rPr>
                <w:rFonts w:hAnsiTheme="minorEastAsia" w:cs="Calibri"/>
                <w:snapToGrid/>
                <w:color w:val="000000"/>
                <w:lang w:val="en-US"/>
              </w:rPr>
              <w:t>%</w:t>
            </w:r>
          </w:p>
        </w:tc>
        <w:tc>
          <w:tcPr>
            <w:tcW w:w="945" w:type="pct"/>
            <w:shd w:val="clear" w:color="auto" w:fill="auto"/>
            <w:noWrap/>
            <w:vAlign w:val="bottom"/>
            <w:hideMark/>
          </w:tcPr>
          <w:p w14:paraId="615D6D3C" w14:textId="77777777" w:rsidR="0022152D" w:rsidRPr="002644B1" w:rsidRDefault="0022152D" w:rsidP="0022152D">
            <w:pPr>
              <w:widowControl/>
              <w:jc w:val="left"/>
              <w:rPr>
                <w:rFonts w:hAnsiTheme="minorEastAsia" w:cs="Calibri"/>
                <w:snapToGrid/>
                <w:color w:val="000000"/>
                <w:lang w:val="en-US"/>
              </w:rPr>
            </w:pPr>
            <w:r w:rsidRPr="002644B1">
              <w:rPr>
                <w:rFonts w:hAnsiTheme="minorEastAsia" w:cs="Calibri"/>
                <w:snapToGrid/>
                <w:color w:val="000000"/>
                <w:lang w:val="en-US"/>
              </w:rPr>
              <w:t>kW</w:t>
            </w:r>
          </w:p>
        </w:tc>
        <w:tc>
          <w:tcPr>
            <w:tcW w:w="1352" w:type="pct"/>
            <w:shd w:val="clear" w:color="auto" w:fill="auto"/>
            <w:noWrap/>
            <w:vAlign w:val="bottom"/>
            <w:hideMark/>
          </w:tcPr>
          <w:p w14:paraId="735B3AA3" w14:textId="77777777" w:rsidR="0022152D" w:rsidRPr="002644B1" w:rsidRDefault="0022152D" w:rsidP="0022152D">
            <w:pPr>
              <w:widowControl/>
              <w:jc w:val="left"/>
              <w:rPr>
                <w:rFonts w:hAnsiTheme="minorEastAsia" w:cs="Calibri"/>
                <w:snapToGrid/>
                <w:color w:val="000000"/>
                <w:lang w:val="en-US"/>
              </w:rPr>
            </w:pPr>
            <w:r w:rsidRPr="002644B1">
              <w:rPr>
                <w:rFonts w:hAnsiTheme="minorEastAsia" w:cs="Calibri"/>
                <w:snapToGrid/>
                <w:color w:val="000000"/>
                <w:lang w:val="en-US"/>
              </w:rPr>
              <w:t>g/kWh</w:t>
            </w:r>
          </w:p>
        </w:tc>
        <w:tc>
          <w:tcPr>
            <w:tcW w:w="1894" w:type="pct"/>
            <w:shd w:val="clear" w:color="auto" w:fill="auto"/>
            <w:noWrap/>
            <w:vAlign w:val="bottom"/>
            <w:hideMark/>
          </w:tcPr>
          <w:p w14:paraId="0DE56FB0" w14:textId="77777777" w:rsidR="0022152D" w:rsidRPr="002644B1" w:rsidRDefault="0022152D" w:rsidP="0022152D">
            <w:pPr>
              <w:widowControl/>
              <w:jc w:val="left"/>
              <w:rPr>
                <w:rFonts w:hAnsiTheme="minorEastAsia" w:cs="Calibri"/>
                <w:snapToGrid/>
                <w:color w:val="000000"/>
                <w:lang w:val="en-US"/>
              </w:rPr>
            </w:pPr>
            <w:r w:rsidRPr="002644B1">
              <w:rPr>
                <w:rFonts w:hAnsiTheme="minorEastAsia" w:cs="Calibri"/>
                <w:snapToGrid/>
                <w:color w:val="000000"/>
                <w:lang w:val="en-US"/>
              </w:rPr>
              <w:t>g/kWh</w:t>
            </w:r>
          </w:p>
        </w:tc>
      </w:tr>
      <w:tr w:rsidR="0022152D" w:rsidRPr="002644B1" w14:paraId="74601D7A" w14:textId="77777777" w:rsidTr="00100F7B">
        <w:trPr>
          <w:trHeight w:val="300"/>
        </w:trPr>
        <w:tc>
          <w:tcPr>
            <w:tcW w:w="809" w:type="pct"/>
            <w:shd w:val="clear" w:color="auto" w:fill="auto"/>
            <w:noWrap/>
            <w:vAlign w:val="bottom"/>
            <w:hideMark/>
          </w:tcPr>
          <w:p w14:paraId="7FA4C93C"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100</w:t>
            </w:r>
          </w:p>
        </w:tc>
        <w:tc>
          <w:tcPr>
            <w:tcW w:w="945" w:type="pct"/>
            <w:shd w:val="clear" w:color="auto" w:fill="auto"/>
            <w:noWrap/>
            <w:vAlign w:val="bottom"/>
            <w:hideMark/>
          </w:tcPr>
          <w:p w14:paraId="6FC8EFD1"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14480</w:t>
            </w:r>
          </w:p>
        </w:tc>
        <w:tc>
          <w:tcPr>
            <w:tcW w:w="1352" w:type="pct"/>
            <w:shd w:val="clear" w:color="auto" w:fill="auto"/>
            <w:noWrap/>
            <w:vAlign w:val="bottom"/>
            <w:hideMark/>
          </w:tcPr>
          <w:p w14:paraId="7877E3CE"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371.9</w:t>
            </w:r>
          </w:p>
        </w:tc>
        <w:tc>
          <w:tcPr>
            <w:tcW w:w="1894" w:type="pct"/>
            <w:shd w:val="clear" w:color="auto" w:fill="auto"/>
            <w:noWrap/>
            <w:vAlign w:val="bottom"/>
            <w:hideMark/>
          </w:tcPr>
          <w:p w14:paraId="2A6B6074"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9</w:t>
            </w:r>
          </w:p>
        </w:tc>
      </w:tr>
      <w:tr w:rsidR="0022152D" w:rsidRPr="002644B1" w14:paraId="713FC2EC" w14:textId="77777777" w:rsidTr="00100F7B">
        <w:trPr>
          <w:trHeight w:val="300"/>
        </w:trPr>
        <w:tc>
          <w:tcPr>
            <w:tcW w:w="809" w:type="pct"/>
            <w:shd w:val="clear" w:color="auto" w:fill="auto"/>
            <w:noWrap/>
            <w:vAlign w:val="bottom"/>
            <w:hideMark/>
          </w:tcPr>
          <w:p w14:paraId="58396595"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95</w:t>
            </w:r>
          </w:p>
        </w:tc>
        <w:tc>
          <w:tcPr>
            <w:tcW w:w="945" w:type="pct"/>
            <w:shd w:val="clear" w:color="auto" w:fill="auto"/>
            <w:noWrap/>
            <w:vAlign w:val="bottom"/>
            <w:hideMark/>
          </w:tcPr>
          <w:p w14:paraId="2CFAF646"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13756</w:t>
            </w:r>
          </w:p>
        </w:tc>
        <w:tc>
          <w:tcPr>
            <w:tcW w:w="1352" w:type="pct"/>
            <w:shd w:val="clear" w:color="auto" w:fill="auto"/>
            <w:noWrap/>
            <w:vAlign w:val="bottom"/>
            <w:hideMark/>
          </w:tcPr>
          <w:p w14:paraId="07FD5998"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363.9</w:t>
            </w:r>
          </w:p>
        </w:tc>
        <w:tc>
          <w:tcPr>
            <w:tcW w:w="1894" w:type="pct"/>
            <w:shd w:val="clear" w:color="auto" w:fill="auto"/>
            <w:noWrap/>
            <w:vAlign w:val="bottom"/>
            <w:hideMark/>
          </w:tcPr>
          <w:p w14:paraId="1D62C582"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9.3</w:t>
            </w:r>
          </w:p>
        </w:tc>
      </w:tr>
      <w:tr w:rsidR="0022152D" w:rsidRPr="002644B1" w14:paraId="6DF85F4B" w14:textId="77777777" w:rsidTr="00100F7B">
        <w:trPr>
          <w:trHeight w:val="300"/>
        </w:trPr>
        <w:tc>
          <w:tcPr>
            <w:tcW w:w="809" w:type="pct"/>
            <w:shd w:val="clear" w:color="auto" w:fill="auto"/>
            <w:noWrap/>
            <w:vAlign w:val="bottom"/>
            <w:hideMark/>
          </w:tcPr>
          <w:p w14:paraId="42701EFC"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90</w:t>
            </w:r>
          </w:p>
        </w:tc>
        <w:tc>
          <w:tcPr>
            <w:tcW w:w="945" w:type="pct"/>
            <w:shd w:val="clear" w:color="auto" w:fill="auto"/>
            <w:noWrap/>
            <w:vAlign w:val="bottom"/>
            <w:hideMark/>
          </w:tcPr>
          <w:p w14:paraId="62618183"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13032</w:t>
            </w:r>
          </w:p>
        </w:tc>
        <w:tc>
          <w:tcPr>
            <w:tcW w:w="1352" w:type="pct"/>
            <w:shd w:val="clear" w:color="auto" w:fill="auto"/>
            <w:noWrap/>
            <w:vAlign w:val="bottom"/>
            <w:hideMark/>
          </w:tcPr>
          <w:p w14:paraId="43617556"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356.1</w:t>
            </w:r>
          </w:p>
        </w:tc>
        <w:tc>
          <w:tcPr>
            <w:tcW w:w="1894" w:type="pct"/>
            <w:shd w:val="clear" w:color="auto" w:fill="auto"/>
            <w:noWrap/>
            <w:vAlign w:val="bottom"/>
            <w:hideMark/>
          </w:tcPr>
          <w:p w14:paraId="0CDF4F78"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9.6</w:t>
            </w:r>
          </w:p>
        </w:tc>
      </w:tr>
      <w:tr w:rsidR="0022152D" w:rsidRPr="002644B1" w14:paraId="7A3DE77C" w14:textId="77777777" w:rsidTr="00100F7B">
        <w:trPr>
          <w:trHeight w:val="300"/>
        </w:trPr>
        <w:tc>
          <w:tcPr>
            <w:tcW w:w="809" w:type="pct"/>
            <w:shd w:val="clear" w:color="auto" w:fill="auto"/>
            <w:noWrap/>
            <w:vAlign w:val="bottom"/>
            <w:hideMark/>
          </w:tcPr>
          <w:p w14:paraId="440A9DDC"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85</w:t>
            </w:r>
          </w:p>
        </w:tc>
        <w:tc>
          <w:tcPr>
            <w:tcW w:w="945" w:type="pct"/>
            <w:shd w:val="clear" w:color="auto" w:fill="auto"/>
            <w:noWrap/>
            <w:vAlign w:val="bottom"/>
            <w:hideMark/>
          </w:tcPr>
          <w:p w14:paraId="6656E300"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12308</w:t>
            </w:r>
          </w:p>
        </w:tc>
        <w:tc>
          <w:tcPr>
            <w:tcW w:w="1352" w:type="pct"/>
            <w:shd w:val="clear" w:color="auto" w:fill="auto"/>
            <w:noWrap/>
            <w:vAlign w:val="bottom"/>
            <w:hideMark/>
          </w:tcPr>
          <w:p w14:paraId="3846C6F4"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350.6</w:t>
            </w:r>
          </w:p>
        </w:tc>
        <w:tc>
          <w:tcPr>
            <w:tcW w:w="1894" w:type="pct"/>
            <w:shd w:val="clear" w:color="auto" w:fill="auto"/>
            <w:noWrap/>
            <w:vAlign w:val="bottom"/>
            <w:hideMark/>
          </w:tcPr>
          <w:p w14:paraId="0E4B4FB7"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10</w:t>
            </w:r>
          </w:p>
        </w:tc>
      </w:tr>
      <w:tr w:rsidR="0022152D" w:rsidRPr="002644B1" w14:paraId="1562B8B2" w14:textId="77777777" w:rsidTr="00100F7B">
        <w:trPr>
          <w:trHeight w:val="300"/>
        </w:trPr>
        <w:tc>
          <w:tcPr>
            <w:tcW w:w="809" w:type="pct"/>
            <w:shd w:val="clear" w:color="auto" w:fill="auto"/>
            <w:noWrap/>
            <w:vAlign w:val="bottom"/>
            <w:hideMark/>
          </w:tcPr>
          <w:p w14:paraId="68C25C7E"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80</w:t>
            </w:r>
          </w:p>
        </w:tc>
        <w:tc>
          <w:tcPr>
            <w:tcW w:w="945" w:type="pct"/>
            <w:shd w:val="clear" w:color="auto" w:fill="auto"/>
            <w:noWrap/>
            <w:vAlign w:val="bottom"/>
            <w:hideMark/>
          </w:tcPr>
          <w:p w14:paraId="03632B70"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11584</w:t>
            </w:r>
          </w:p>
        </w:tc>
        <w:tc>
          <w:tcPr>
            <w:tcW w:w="1352" w:type="pct"/>
            <w:shd w:val="clear" w:color="auto" w:fill="auto"/>
            <w:noWrap/>
            <w:vAlign w:val="bottom"/>
            <w:hideMark/>
          </w:tcPr>
          <w:p w14:paraId="4A17A891"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347.8</w:t>
            </w:r>
          </w:p>
        </w:tc>
        <w:tc>
          <w:tcPr>
            <w:tcW w:w="1894" w:type="pct"/>
            <w:shd w:val="clear" w:color="auto" w:fill="auto"/>
            <w:noWrap/>
            <w:vAlign w:val="bottom"/>
            <w:hideMark/>
          </w:tcPr>
          <w:p w14:paraId="08AAA403"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10.4</w:t>
            </w:r>
          </w:p>
        </w:tc>
      </w:tr>
      <w:tr w:rsidR="0022152D" w:rsidRPr="002644B1" w14:paraId="2F6A9CA8" w14:textId="77777777" w:rsidTr="00100F7B">
        <w:trPr>
          <w:trHeight w:val="300"/>
        </w:trPr>
        <w:tc>
          <w:tcPr>
            <w:tcW w:w="809" w:type="pct"/>
            <w:shd w:val="clear" w:color="auto" w:fill="auto"/>
            <w:noWrap/>
            <w:vAlign w:val="bottom"/>
            <w:hideMark/>
          </w:tcPr>
          <w:p w14:paraId="6E5B4C8B"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75</w:t>
            </w:r>
          </w:p>
        </w:tc>
        <w:tc>
          <w:tcPr>
            <w:tcW w:w="945" w:type="pct"/>
            <w:shd w:val="clear" w:color="auto" w:fill="auto"/>
            <w:noWrap/>
            <w:vAlign w:val="bottom"/>
            <w:hideMark/>
          </w:tcPr>
          <w:p w14:paraId="3F945739"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10860</w:t>
            </w:r>
          </w:p>
        </w:tc>
        <w:tc>
          <w:tcPr>
            <w:tcW w:w="1352" w:type="pct"/>
            <w:shd w:val="clear" w:color="auto" w:fill="auto"/>
            <w:noWrap/>
            <w:vAlign w:val="bottom"/>
            <w:hideMark/>
          </w:tcPr>
          <w:p w14:paraId="77A06D75"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345.7</w:t>
            </w:r>
          </w:p>
        </w:tc>
        <w:tc>
          <w:tcPr>
            <w:tcW w:w="1894" w:type="pct"/>
            <w:shd w:val="clear" w:color="auto" w:fill="auto"/>
            <w:noWrap/>
            <w:vAlign w:val="bottom"/>
            <w:hideMark/>
          </w:tcPr>
          <w:p w14:paraId="60942C0B"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10.9</w:t>
            </w:r>
          </w:p>
        </w:tc>
      </w:tr>
      <w:tr w:rsidR="0022152D" w:rsidRPr="002644B1" w14:paraId="0220BBE8" w14:textId="77777777" w:rsidTr="00100F7B">
        <w:trPr>
          <w:trHeight w:val="300"/>
        </w:trPr>
        <w:tc>
          <w:tcPr>
            <w:tcW w:w="809" w:type="pct"/>
            <w:shd w:val="clear" w:color="auto" w:fill="auto"/>
            <w:noWrap/>
            <w:vAlign w:val="bottom"/>
            <w:hideMark/>
          </w:tcPr>
          <w:p w14:paraId="221297BB"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70</w:t>
            </w:r>
          </w:p>
        </w:tc>
        <w:tc>
          <w:tcPr>
            <w:tcW w:w="945" w:type="pct"/>
            <w:shd w:val="clear" w:color="auto" w:fill="auto"/>
            <w:noWrap/>
            <w:vAlign w:val="bottom"/>
            <w:hideMark/>
          </w:tcPr>
          <w:p w14:paraId="3E539C6D"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10136</w:t>
            </w:r>
          </w:p>
        </w:tc>
        <w:tc>
          <w:tcPr>
            <w:tcW w:w="1352" w:type="pct"/>
            <w:shd w:val="clear" w:color="auto" w:fill="auto"/>
            <w:noWrap/>
            <w:vAlign w:val="bottom"/>
            <w:hideMark/>
          </w:tcPr>
          <w:p w14:paraId="58CADA9D"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341.6</w:t>
            </w:r>
          </w:p>
        </w:tc>
        <w:tc>
          <w:tcPr>
            <w:tcW w:w="1894" w:type="pct"/>
            <w:shd w:val="clear" w:color="auto" w:fill="auto"/>
            <w:noWrap/>
            <w:vAlign w:val="bottom"/>
            <w:hideMark/>
          </w:tcPr>
          <w:p w14:paraId="7931AF58"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11.4</w:t>
            </w:r>
          </w:p>
        </w:tc>
      </w:tr>
      <w:tr w:rsidR="0022152D" w:rsidRPr="002644B1" w14:paraId="1594FF29" w14:textId="77777777" w:rsidTr="00100F7B">
        <w:trPr>
          <w:trHeight w:val="300"/>
        </w:trPr>
        <w:tc>
          <w:tcPr>
            <w:tcW w:w="809" w:type="pct"/>
            <w:shd w:val="clear" w:color="auto" w:fill="auto"/>
            <w:noWrap/>
            <w:vAlign w:val="bottom"/>
            <w:hideMark/>
          </w:tcPr>
          <w:p w14:paraId="57E9D3A0" w14:textId="77777777" w:rsidR="0022152D" w:rsidRPr="002644B1" w:rsidRDefault="0022152D" w:rsidP="0022152D">
            <w:pPr>
              <w:widowControl/>
              <w:jc w:val="right"/>
              <w:rPr>
                <w:rFonts w:hAnsiTheme="minorEastAsia" w:cs="Calibri"/>
                <w:snapToGrid/>
                <w:lang w:val="en-US"/>
              </w:rPr>
            </w:pPr>
            <w:r w:rsidRPr="002644B1">
              <w:rPr>
                <w:rFonts w:hAnsiTheme="minorEastAsia" w:cs="Calibri"/>
                <w:snapToGrid/>
                <w:lang w:val="en-US"/>
              </w:rPr>
              <w:t>65</w:t>
            </w:r>
          </w:p>
        </w:tc>
        <w:tc>
          <w:tcPr>
            <w:tcW w:w="945" w:type="pct"/>
            <w:shd w:val="clear" w:color="auto" w:fill="auto"/>
            <w:noWrap/>
            <w:vAlign w:val="bottom"/>
            <w:hideMark/>
          </w:tcPr>
          <w:p w14:paraId="40687D5D" w14:textId="77777777" w:rsidR="0022152D" w:rsidRPr="002644B1" w:rsidRDefault="0022152D" w:rsidP="0022152D">
            <w:pPr>
              <w:widowControl/>
              <w:jc w:val="right"/>
              <w:rPr>
                <w:rFonts w:hAnsiTheme="minorEastAsia" w:cs="Calibri"/>
                <w:snapToGrid/>
                <w:lang w:val="en-US"/>
              </w:rPr>
            </w:pPr>
            <w:r w:rsidRPr="002644B1">
              <w:rPr>
                <w:rFonts w:hAnsiTheme="minorEastAsia" w:cs="Calibri"/>
                <w:snapToGrid/>
                <w:lang w:val="en-US"/>
              </w:rPr>
              <w:t>9412</w:t>
            </w:r>
          </w:p>
        </w:tc>
        <w:tc>
          <w:tcPr>
            <w:tcW w:w="1352" w:type="pct"/>
            <w:shd w:val="clear" w:color="auto" w:fill="auto"/>
            <w:noWrap/>
            <w:vAlign w:val="bottom"/>
            <w:hideMark/>
          </w:tcPr>
          <w:p w14:paraId="64BBB04F" w14:textId="77777777" w:rsidR="0022152D" w:rsidRPr="002644B1" w:rsidRDefault="0022152D" w:rsidP="0022152D">
            <w:pPr>
              <w:widowControl/>
              <w:jc w:val="right"/>
              <w:rPr>
                <w:rFonts w:hAnsiTheme="minorEastAsia" w:cs="Calibri"/>
                <w:snapToGrid/>
                <w:lang w:val="en-US"/>
              </w:rPr>
            </w:pPr>
            <w:r w:rsidRPr="002644B1">
              <w:rPr>
                <w:rFonts w:hAnsiTheme="minorEastAsia" w:cs="Calibri"/>
                <w:snapToGrid/>
                <w:lang w:val="en-US"/>
              </w:rPr>
              <w:t>335.6</w:t>
            </w:r>
          </w:p>
        </w:tc>
        <w:tc>
          <w:tcPr>
            <w:tcW w:w="1894" w:type="pct"/>
            <w:shd w:val="clear" w:color="auto" w:fill="auto"/>
            <w:noWrap/>
            <w:vAlign w:val="bottom"/>
            <w:hideMark/>
          </w:tcPr>
          <w:p w14:paraId="0F67A0EB" w14:textId="77777777" w:rsidR="0022152D" w:rsidRPr="002644B1" w:rsidRDefault="0022152D" w:rsidP="0022152D">
            <w:pPr>
              <w:widowControl/>
              <w:jc w:val="right"/>
              <w:rPr>
                <w:rFonts w:hAnsiTheme="minorEastAsia" w:cs="Calibri"/>
                <w:snapToGrid/>
                <w:lang w:val="en-US"/>
              </w:rPr>
            </w:pPr>
            <w:r w:rsidRPr="002644B1">
              <w:rPr>
                <w:rFonts w:hAnsiTheme="minorEastAsia" w:cs="Calibri"/>
                <w:snapToGrid/>
                <w:lang w:val="en-US"/>
              </w:rPr>
              <w:t>12</w:t>
            </w:r>
          </w:p>
        </w:tc>
      </w:tr>
      <w:tr w:rsidR="0022152D" w:rsidRPr="002644B1" w14:paraId="470921F6" w14:textId="77777777" w:rsidTr="00100F7B">
        <w:trPr>
          <w:trHeight w:val="300"/>
        </w:trPr>
        <w:tc>
          <w:tcPr>
            <w:tcW w:w="809" w:type="pct"/>
            <w:shd w:val="clear" w:color="auto" w:fill="auto"/>
            <w:noWrap/>
            <w:vAlign w:val="bottom"/>
            <w:hideMark/>
          </w:tcPr>
          <w:p w14:paraId="6E494F57"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60</w:t>
            </w:r>
          </w:p>
        </w:tc>
        <w:tc>
          <w:tcPr>
            <w:tcW w:w="945" w:type="pct"/>
            <w:shd w:val="clear" w:color="auto" w:fill="auto"/>
            <w:noWrap/>
            <w:vAlign w:val="bottom"/>
            <w:hideMark/>
          </w:tcPr>
          <w:p w14:paraId="0D75A835"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8688</w:t>
            </w:r>
          </w:p>
        </w:tc>
        <w:tc>
          <w:tcPr>
            <w:tcW w:w="1352" w:type="pct"/>
            <w:shd w:val="clear" w:color="auto" w:fill="auto"/>
            <w:noWrap/>
            <w:vAlign w:val="bottom"/>
            <w:hideMark/>
          </w:tcPr>
          <w:p w14:paraId="4777DE78"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335.2</w:t>
            </w:r>
          </w:p>
        </w:tc>
        <w:tc>
          <w:tcPr>
            <w:tcW w:w="1894" w:type="pct"/>
            <w:shd w:val="clear" w:color="auto" w:fill="auto"/>
            <w:noWrap/>
            <w:vAlign w:val="bottom"/>
            <w:hideMark/>
          </w:tcPr>
          <w:p w14:paraId="5C9E7C08"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12.6</w:t>
            </w:r>
          </w:p>
        </w:tc>
      </w:tr>
      <w:tr w:rsidR="0022152D" w:rsidRPr="002644B1" w14:paraId="4A05B781" w14:textId="77777777" w:rsidTr="00100F7B">
        <w:trPr>
          <w:trHeight w:val="300"/>
        </w:trPr>
        <w:tc>
          <w:tcPr>
            <w:tcW w:w="809" w:type="pct"/>
            <w:shd w:val="clear" w:color="auto" w:fill="auto"/>
            <w:noWrap/>
            <w:vAlign w:val="bottom"/>
            <w:hideMark/>
          </w:tcPr>
          <w:p w14:paraId="33BCC21C"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55</w:t>
            </w:r>
          </w:p>
        </w:tc>
        <w:tc>
          <w:tcPr>
            <w:tcW w:w="945" w:type="pct"/>
            <w:shd w:val="clear" w:color="auto" w:fill="auto"/>
            <w:noWrap/>
            <w:vAlign w:val="bottom"/>
            <w:hideMark/>
          </w:tcPr>
          <w:p w14:paraId="6B6F84E2"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7964</w:t>
            </w:r>
          </w:p>
        </w:tc>
        <w:tc>
          <w:tcPr>
            <w:tcW w:w="1352" w:type="pct"/>
            <w:shd w:val="clear" w:color="auto" w:fill="auto"/>
            <w:noWrap/>
            <w:vAlign w:val="bottom"/>
            <w:hideMark/>
          </w:tcPr>
          <w:p w14:paraId="1B71C7F2"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335.2</w:t>
            </w:r>
          </w:p>
        </w:tc>
        <w:tc>
          <w:tcPr>
            <w:tcW w:w="1894" w:type="pct"/>
            <w:shd w:val="clear" w:color="auto" w:fill="auto"/>
            <w:noWrap/>
            <w:vAlign w:val="bottom"/>
            <w:hideMark/>
          </w:tcPr>
          <w:p w14:paraId="77105E7C"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13.4</w:t>
            </w:r>
          </w:p>
        </w:tc>
      </w:tr>
      <w:tr w:rsidR="0022152D" w:rsidRPr="002644B1" w14:paraId="6E71C8FD" w14:textId="77777777" w:rsidTr="00100F7B">
        <w:trPr>
          <w:trHeight w:val="300"/>
        </w:trPr>
        <w:tc>
          <w:tcPr>
            <w:tcW w:w="809" w:type="pct"/>
            <w:shd w:val="clear" w:color="auto" w:fill="auto"/>
            <w:noWrap/>
            <w:vAlign w:val="bottom"/>
            <w:hideMark/>
          </w:tcPr>
          <w:p w14:paraId="151F0CAF"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50</w:t>
            </w:r>
          </w:p>
        </w:tc>
        <w:tc>
          <w:tcPr>
            <w:tcW w:w="945" w:type="pct"/>
            <w:shd w:val="clear" w:color="auto" w:fill="auto"/>
            <w:noWrap/>
            <w:vAlign w:val="bottom"/>
            <w:hideMark/>
          </w:tcPr>
          <w:p w14:paraId="633643A8"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7240</w:t>
            </w:r>
          </w:p>
        </w:tc>
        <w:tc>
          <w:tcPr>
            <w:tcW w:w="1352" w:type="pct"/>
            <w:shd w:val="clear" w:color="auto" w:fill="auto"/>
            <w:noWrap/>
            <w:vAlign w:val="bottom"/>
            <w:hideMark/>
          </w:tcPr>
          <w:p w14:paraId="10BA3141"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335.4</w:t>
            </w:r>
          </w:p>
        </w:tc>
        <w:tc>
          <w:tcPr>
            <w:tcW w:w="1894" w:type="pct"/>
            <w:shd w:val="clear" w:color="auto" w:fill="auto"/>
            <w:noWrap/>
            <w:vAlign w:val="bottom"/>
            <w:hideMark/>
          </w:tcPr>
          <w:p w14:paraId="52003EB0"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14.3</w:t>
            </w:r>
          </w:p>
        </w:tc>
      </w:tr>
      <w:tr w:rsidR="0022152D" w:rsidRPr="002644B1" w14:paraId="2FD97E9D" w14:textId="77777777" w:rsidTr="00100F7B">
        <w:trPr>
          <w:trHeight w:val="300"/>
        </w:trPr>
        <w:tc>
          <w:tcPr>
            <w:tcW w:w="809" w:type="pct"/>
            <w:shd w:val="clear" w:color="auto" w:fill="auto"/>
            <w:noWrap/>
            <w:vAlign w:val="bottom"/>
            <w:hideMark/>
          </w:tcPr>
          <w:p w14:paraId="40BC9D0C"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45</w:t>
            </w:r>
          </w:p>
        </w:tc>
        <w:tc>
          <w:tcPr>
            <w:tcW w:w="945" w:type="pct"/>
            <w:shd w:val="clear" w:color="auto" w:fill="auto"/>
            <w:noWrap/>
            <w:vAlign w:val="bottom"/>
            <w:hideMark/>
          </w:tcPr>
          <w:p w14:paraId="1EE1AA2E"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6516</w:t>
            </w:r>
          </w:p>
        </w:tc>
        <w:tc>
          <w:tcPr>
            <w:tcW w:w="1352" w:type="pct"/>
            <w:shd w:val="clear" w:color="auto" w:fill="auto"/>
            <w:noWrap/>
            <w:vAlign w:val="bottom"/>
            <w:hideMark/>
          </w:tcPr>
          <w:p w14:paraId="0CFF0C3F"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335.6</w:t>
            </w:r>
          </w:p>
        </w:tc>
        <w:tc>
          <w:tcPr>
            <w:tcW w:w="1894" w:type="pct"/>
            <w:shd w:val="clear" w:color="auto" w:fill="auto"/>
            <w:noWrap/>
            <w:vAlign w:val="bottom"/>
            <w:hideMark/>
          </w:tcPr>
          <w:p w14:paraId="2F858203"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15.3</w:t>
            </w:r>
          </w:p>
        </w:tc>
      </w:tr>
      <w:tr w:rsidR="0022152D" w:rsidRPr="002644B1" w14:paraId="180D5802" w14:textId="77777777" w:rsidTr="00100F7B">
        <w:trPr>
          <w:trHeight w:val="300"/>
        </w:trPr>
        <w:tc>
          <w:tcPr>
            <w:tcW w:w="809" w:type="pct"/>
            <w:shd w:val="clear" w:color="auto" w:fill="auto"/>
            <w:noWrap/>
            <w:vAlign w:val="bottom"/>
            <w:hideMark/>
          </w:tcPr>
          <w:p w14:paraId="7B12809A"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40</w:t>
            </w:r>
          </w:p>
        </w:tc>
        <w:tc>
          <w:tcPr>
            <w:tcW w:w="945" w:type="pct"/>
            <w:shd w:val="clear" w:color="auto" w:fill="auto"/>
            <w:noWrap/>
            <w:vAlign w:val="bottom"/>
            <w:hideMark/>
          </w:tcPr>
          <w:p w14:paraId="0FDC847E"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5792</w:t>
            </w:r>
          </w:p>
        </w:tc>
        <w:tc>
          <w:tcPr>
            <w:tcW w:w="1352" w:type="pct"/>
            <w:shd w:val="clear" w:color="auto" w:fill="auto"/>
            <w:noWrap/>
            <w:vAlign w:val="bottom"/>
            <w:hideMark/>
          </w:tcPr>
          <w:p w14:paraId="6248394D"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337</w:t>
            </w:r>
          </w:p>
        </w:tc>
        <w:tc>
          <w:tcPr>
            <w:tcW w:w="1894" w:type="pct"/>
            <w:shd w:val="clear" w:color="auto" w:fill="auto"/>
            <w:noWrap/>
            <w:vAlign w:val="bottom"/>
            <w:hideMark/>
          </w:tcPr>
          <w:p w14:paraId="07CB29C0"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16.5</w:t>
            </w:r>
          </w:p>
        </w:tc>
      </w:tr>
      <w:tr w:rsidR="0022152D" w:rsidRPr="002644B1" w14:paraId="26020267" w14:textId="77777777" w:rsidTr="00100F7B">
        <w:trPr>
          <w:trHeight w:val="300"/>
        </w:trPr>
        <w:tc>
          <w:tcPr>
            <w:tcW w:w="809" w:type="pct"/>
            <w:shd w:val="clear" w:color="auto" w:fill="auto"/>
            <w:noWrap/>
            <w:vAlign w:val="bottom"/>
            <w:hideMark/>
          </w:tcPr>
          <w:p w14:paraId="26180F17"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35</w:t>
            </w:r>
          </w:p>
        </w:tc>
        <w:tc>
          <w:tcPr>
            <w:tcW w:w="945" w:type="pct"/>
            <w:shd w:val="clear" w:color="auto" w:fill="auto"/>
            <w:noWrap/>
            <w:vAlign w:val="bottom"/>
            <w:hideMark/>
          </w:tcPr>
          <w:p w14:paraId="0407BD8D"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5068</w:t>
            </w:r>
          </w:p>
        </w:tc>
        <w:tc>
          <w:tcPr>
            <w:tcW w:w="1352" w:type="pct"/>
            <w:shd w:val="clear" w:color="auto" w:fill="auto"/>
            <w:noWrap/>
            <w:vAlign w:val="bottom"/>
            <w:hideMark/>
          </w:tcPr>
          <w:p w14:paraId="5E527B89"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336.8</w:t>
            </w:r>
          </w:p>
        </w:tc>
        <w:tc>
          <w:tcPr>
            <w:tcW w:w="1894" w:type="pct"/>
            <w:shd w:val="clear" w:color="auto" w:fill="auto"/>
            <w:noWrap/>
            <w:vAlign w:val="bottom"/>
            <w:hideMark/>
          </w:tcPr>
          <w:p w14:paraId="1D5A231E" w14:textId="77777777" w:rsidR="0022152D" w:rsidRPr="002644B1" w:rsidRDefault="0022152D" w:rsidP="0022152D">
            <w:pPr>
              <w:widowControl/>
              <w:jc w:val="right"/>
              <w:rPr>
                <w:rFonts w:hAnsiTheme="minorEastAsia" w:cs="Calibri"/>
                <w:snapToGrid/>
                <w:color w:val="000000"/>
                <w:lang w:val="en-US"/>
              </w:rPr>
            </w:pPr>
            <w:r w:rsidRPr="002644B1">
              <w:rPr>
                <w:rFonts w:hAnsiTheme="minorEastAsia" w:cs="Calibri"/>
                <w:snapToGrid/>
                <w:color w:val="000000"/>
                <w:lang w:val="en-US"/>
              </w:rPr>
              <w:t>18.1</w:t>
            </w:r>
          </w:p>
        </w:tc>
      </w:tr>
      <w:tr w:rsidR="0022152D" w:rsidRPr="002644B1" w14:paraId="583D25DA" w14:textId="77777777" w:rsidTr="00100F7B">
        <w:trPr>
          <w:trHeight w:val="270"/>
        </w:trPr>
        <w:tc>
          <w:tcPr>
            <w:tcW w:w="809" w:type="pct"/>
            <w:shd w:val="clear" w:color="auto" w:fill="auto"/>
            <w:noWrap/>
            <w:vAlign w:val="bottom"/>
            <w:hideMark/>
          </w:tcPr>
          <w:p w14:paraId="20205A25"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t>30</w:t>
            </w:r>
          </w:p>
        </w:tc>
        <w:tc>
          <w:tcPr>
            <w:tcW w:w="945" w:type="pct"/>
            <w:shd w:val="clear" w:color="auto" w:fill="auto"/>
            <w:noWrap/>
            <w:vAlign w:val="bottom"/>
            <w:hideMark/>
          </w:tcPr>
          <w:p w14:paraId="142EEEBF"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t>4344</w:t>
            </w:r>
          </w:p>
        </w:tc>
        <w:tc>
          <w:tcPr>
            <w:tcW w:w="1352" w:type="pct"/>
            <w:shd w:val="clear" w:color="auto" w:fill="auto"/>
            <w:noWrap/>
            <w:vAlign w:val="bottom"/>
            <w:hideMark/>
          </w:tcPr>
          <w:p w14:paraId="2EE8358F"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t>334.9</w:t>
            </w:r>
          </w:p>
        </w:tc>
        <w:tc>
          <w:tcPr>
            <w:tcW w:w="1894" w:type="pct"/>
            <w:shd w:val="clear" w:color="auto" w:fill="auto"/>
            <w:noWrap/>
            <w:vAlign w:val="bottom"/>
            <w:hideMark/>
          </w:tcPr>
          <w:p w14:paraId="1D5B7250"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t>20</w:t>
            </w:r>
          </w:p>
        </w:tc>
      </w:tr>
      <w:tr w:rsidR="0022152D" w:rsidRPr="002644B1" w14:paraId="2E43FE34" w14:textId="77777777" w:rsidTr="00100F7B">
        <w:trPr>
          <w:trHeight w:val="270"/>
        </w:trPr>
        <w:tc>
          <w:tcPr>
            <w:tcW w:w="809" w:type="pct"/>
            <w:shd w:val="clear" w:color="auto" w:fill="auto"/>
            <w:noWrap/>
            <w:vAlign w:val="bottom"/>
            <w:hideMark/>
          </w:tcPr>
          <w:p w14:paraId="4A4A170B"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lastRenderedPageBreak/>
              <w:t>25</w:t>
            </w:r>
          </w:p>
        </w:tc>
        <w:tc>
          <w:tcPr>
            <w:tcW w:w="945" w:type="pct"/>
            <w:shd w:val="clear" w:color="auto" w:fill="auto"/>
            <w:noWrap/>
            <w:vAlign w:val="bottom"/>
            <w:hideMark/>
          </w:tcPr>
          <w:p w14:paraId="1762F01E"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t>3620</w:t>
            </w:r>
          </w:p>
        </w:tc>
        <w:tc>
          <w:tcPr>
            <w:tcW w:w="1352" w:type="pct"/>
            <w:shd w:val="clear" w:color="auto" w:fill="auto"/>
            <w:noWrap/>
            <w:vAlign w:val="bottom"/>
            <w:hideMark/>
          </w:tcPr>
          <w:p w14:paraId="77C9D5D8"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t>331.5</w:t>
            </w:r>
          </w:p>
        </w:tc>
        <w:tc>
          <w:tcPr>
            <w:tcW w:w="1894" w:type="pct"/>
            <w:shd w:val="clear" w:color="auto" w:fill="auto"/>
            <w:noWrap/>
            <w:vAlign w:val="bottom"/>
            <w:hideMark/>
          </w:tcPr>
          <w:p w14:paraId="151DAB5E" w14:textId="77777777" w:rsidR="0022152D" w:rsidRPr="002644B1" w:rsidRDefault="0022152D" w:rsidP="0022152D">
            <w:pPr>
              <w:widowControl/>
              <w:jc w:val="right"/>
              <w:rPr>
                <w:rFonts w:hAnsiTheme="minorEastAsia" w:cs="宋体"/>
                <w:snapToGrid/>
                <w:color w:val="000000"/>
                <w:lang w:val="en-US"/>
              </w:rPr>
            </w:pPr>
            <w:r w:rsidRPr="002644B1">
              <w:rPr>
                <w:rFonts w:hAnsiTheme="minorEastAsia" w:cs="宋体" w:hint="eastAsia"/>
                <w:snapToGrid/>
                <w:color w:val="000000"/>
                <w:lang w:val="en-US"/>
              </w:rPr>
              <w:t>22.6</w:t>
            </w:r>
          </w:p>
        </w:tc>
      </w:tr>
    </w:tbl>
    <w:p w14:paraId="44967F31" w14:textId="77777777" w:rsidR="007E461C" w:rsidRDefault="007E461C" w:rsidP="007E461C">
      <w:pPr>
        <w:spacing w:line="360" w:lineRule="auto"/>
        <w:ind w:firstLineChars="200" w:firstLine="480"/>
        <w:jc w:val="left"/>
        <w:rPr>
          <w:sz w:val="24"/>
          <w:szCs w:val="24"/>
          <w:lang w:val="en-US"/>
        </w:rPr>
      </w:pPr>
      <w:r>
        <w:rPr>
          <w:rFonts w:hint="eastAsia"/>
          <w:sz w:val="24"/>
          <w:szCs w:val="24"/>
          <w:lang w:val="en-US"/>
        </w:rPr>
        <w:t>将以上数据代入本标准中的能效计算方法得到以下结果：</w:t>
      </w:r>
    </w:p>
    <w:p w14:paraId="5C9A4773" w14:textId="1DAD7C4B" w:rsidR="007E461C" w:rsidRDefault="007E461C" w:rsidP="007E461C">
      <w:pPr>
        <w:spacing w:line="360" w:lineRule="auto"/>
        <w:ind w:firstLineChars="200" w:firstLine="480"/>
        <w:jc w:val="left"/>
        <w:rPr>
          <w:sz w:val="24"/>
          <w:szCs w:val="24"/>
          <w:lang w:val="en-US"/>
        </w:rPr>
      </w:pPr>
      <w:r w:rsidRPr="00743392">
        <w:rPr>
          <w:rFonts w:hint="eastAsia"/>
          <w:sz w:val="24"/>
          <w:szCs w:val="24"/>
        </w:rPr>
        <w:t>该发动机在Tier</w:t>
      </w:r>
      <w:r w:rsidRPr="00743392">
        <w:rPr>
          <w:sz w:val="24"/>
          <w:szCs w:val="24"/>
        </w:rPr>
        <w:t xml:space="preserve"> </w:t>
      </w:r>
      <w:r w:rsidRPr="00743392">
        <w:rPr>
          <w:rFonts w:hint="eastAsia"/>
          <w:sz w:val="24"/>
          <w:szCs w:val="24"/>
        </w:rPr>
        <w:t>II模式下的热效率为5</w:t>
      </w:r>
      <w:r w:rsidRPr="00743392">
        <w:rPr>
          <w:sz w:val="24"/>
          <w:szCs w:val="24"/>
        </w:rPr>
        <w:t>3.30</w:t>
      </w:r>
      <w:r w:rsidRPr="00743392">
        <w:rPr>
          <w:rFonts w:hint="eastAsia"/>
          <w:sz w:val="24"/>
          <w:szCs w:val="24"/>
        </w:rPr>
        <w:t>%，</w:t>
      </w:r>
      <w:r w:rsidR="00510722">
        <w:rPr>
          <w:rFonts w:hint="eastAsia"/>
          <w:sz w:val="24"/>
          <w:szCs w:val="24"/>
        </w:rPr>
        <w:t>按照标准中对能效等级的规定</w:t>
      </w:r>
      <w:r w:rsidRPr="00743392">
        <w:rPr>
          <w:rFonts w:hint="eastAsia"/>
          <w:sz w:val="24"/>
          <w:szCs w:val="24"/>
        </w:rPr>
        <w:t>属于2级能效。</w:t>
      </w:r>
      <w:r w:rsidR="007622D0">
        <w:rPr>
          <w:rFonts w:hint="eastAsia"/>
          <w:sz w:val="24"/>
          <w:szCs w:val="24"/>
        </w:rPr>
        <w:t>本次验证说明</w:t>
      </w:r>
      <w:r w:rsidR="007622D0" w:rsidRPr="00622670">
        <w:rPr>
          <w:rFonts w:hint="eastAsia"/>
          <w:sz w:val="24"/>
          <w:szCs w:val="24"/>
        </w:rPr>
        <w:t>了本标准规定的能效基值</w:t>
      </w:r>
      <w:r w:rsidR="007622D0">
        <w:rPr>
          <w:rFonts w:hint="eastAsia"/>
          <w:sz w:val="24"/>
          <w:szCs w:val="24"/>
        </w:rPr>
        <w:t>与分级原则</w:t>
      </w:r>
      <w:r w:rsidR="007622D0" w:rsidRPr="00622670">
        <w:rPr>
          <w:rFonts w:hint="eastAsia"/>
          <w:sz w:val="24"/>
          <w:szCs w:val="24"/>
        </w:rPr>
        <w:t>是合理的，</w:t>
      </w:r>
      <w:r w:rsidR="007622D0">
        <w:rPr>
          <w:rFonts w:hint="eastAsia"/>
          <w:sz w:val="24"/>
          <w:szCs w:val="24"/>
        </w:rPr>
        <w:t>能效</w:t>
      </w:r>
      <w:r w:rsidR="007622D0" w:rsidRPr="00622670">
        <w:rPr>
          <w:rFonts w:hint="eastAsia"/>
          <w:sz w:val="24"/>
          <w:szCs w:val="24"/>
        </w:rPr>
        <w:t>计算方法是适宜的。</w:t>
      </w:r>
    </w:p>
    <w:p w14:paraId="15A91641" w14:textId="77777777" w:rsidR="00CE0EFC" w:rsidRPr="001B3300" w:rsidRDefault="00CE0EFC" w:rsidP="00CE0EFC">
      <w:pPr>
        <w:spacing w:line="360" w:lineRule="auto"/>
        <w:jc w:val="left"/>
        <w:rPr>
          <w:rFonts w:hAnsiTheme="minorEastAsia"/>
          <w:b/>
          <w:color w:val="000000" w:themeColor="text1"/>
          <w:sz w:val="24"/>
        </w:rPr>
      </w:pPr>
      <w:r w:rsidRPr="001B3300">
        <w:rPr>
          <w:rFonts w:hAnsiTheme="minorEastAsia" w:hint="eastAsia"/>
          <w:b/>
          <w:color w:val="000000" w:themeColor="text1"/>
          <w:sz w:val="24"/>
        </w:rPr>
        <w:t>四、标准中有关专利情况说明</w:t>
      </w:r>
    </w:p>
    <w:p w14:paraId="12C77B15" w14:textId="77777777" w:rsidR="00283B56" w:rsidRPr="001B3300" w:rsidRDefault="00283B56" w:rsidP="00283B56">
      <w:pPr>
        <w:spacing w:line="360" w:lineRule="auto"/>
        <w:ind w:firstLineChars="200" w:firstLine="480"/>
        <w:jc w:val="left"/>
        <w:rPr>
          <w:rFonts w:hAnsiTheme="minorEastAsia"/>
          <w:color w:val="000000" w:themeColor="text1"/>
          <w:sz w:val="24"/>
        </w:rPr>
      </w:pPr>
      <w:r w:rsidRPr="001B3300">
        <w:rPr>
          <w:rFonts w:hAnsiTheme="minorEastAsia" w:hint="eastAsia"/>
          <w:color w:val="000000" w:themeColor="text1"/>
          <w:sz w:val="24"/>
        </w:rPr>
        <w:t>本标准</w:t>
      </w:r>
      <w:r w:rsidR="00F155F2" w:rsidRPr="001B3300">
        <w:rPr>
          <w:rFonts w:hAnsiTheme="minorEastAsia" w:hint="eastAsia"/>
          <w:color w:val="000000" w:themeColor="text1"/>
          <w:sz w:val="24"/>
        </w:rPr>
        <w:t>不</w:t>
      </w:r>
      <w:r w:rsidRPr="001B3300">
        <w:rPr>
          <w:rFonts w:hAnsiTheme="minorEastAsia" w:hint="eastAsia"/>
          <w:color w:val="000000" w:themeColor="text1"/>
          <w:sz w:val="24"/>
        </w:rPr>
        <w:t>涉及相关知识产权。</w:t>
      </w:r>
    </w:p>
    <w:p w14:paraId="09C98257" w14:textId="77777777" w:rsidR="00CE0EFC" w:rsidRPr="001B3300" w:rsidRDefault="00CE0EFC" w:rsidP="00CE0EFC">
      <w:pPr>
        <w:spacing w:line="360" w:lineRule="auto"/>
        <w:jc w:val="left"/>
        <w:rPr>
          <w:rFonts w:hAnsiTheme="minorEastAsia"/>
          <w:b/>
          <w:color w:val="000000" w:themeColor="text1"/>
          <w:sz w:val="24"/>
        </w:rPr>
      </w:pPr>
      <w:r w:rsidRPr="001B3300">
        <w:rPr>
          <w:rFonts w:hAnsiTheme="minorEastAsia" w:hint="eastAsia"/>
          <w:b/>
          <w:color w:val="000000" w:themeColor="text1"/>
          <w:sz w:val="24"/>
        </w:rPr>
        <w:t>五、预期达到的经济社会效益</w:t>
      </w:r>
    </w:p>
    <w:p w14:paraId="1299EF71" w14:textId="26D1D59A" w:rsidR="00283B56" w:rsidRPr="001B3300" w:rsidRDefault="00963D36" w:rsidP="00283B56">
      <w:pPr>
        <w:spacing w:line="360" w:lineRule="auto"/>
        <w:ind w:firstLineChars="200" w:firstLine="480"/>
        <w:jc w:val="left"/>
        <w:rPr>
          <w:rFonts w:hAnsiTheme="minorEastAsia"/>
          <w:color w:val="000000" w:themeColor="text1"/>
          <w:sz w:val="24"/>
        </w:rPr>
      </w:pPr>
      <w:r>
        <w:rPr>
          <w:rFonts w:hAnsiTheme="minorEastAsia" w:hint="eastAsia"/>
          <w:color w:val="000000" w:themeColor="text1"/>
          <w:sz w:val="24"/>
        </w:rPr>
        <w:t>本标准依托于“2</w:t>
      </w:r>
      <w:r>
        <w:rPr>
          <w:rFonts w:hAnsiTheme="minorEastAsia"/>
          <w:color w:val="000000" w:themeColor="text1"/>
          <w:sz w:val="24"/>
        </w:rPr>
        <w:t>030</w:t>
      </w:r>
      <w:r>
        <w:rPr>
          <w:rFonts w:hAnsiTheme="minorEastAsia" w:hint="eastAsia"/>
          <w:color w:val="000000" w:themeColor="text1"/>
          <w:sz w:val="24"/>
        </w:rPr>
        <w:t>型绿色智能大型集装箱船”子工程，基于“绿色智能船舶排放监测与管控技术研究”任务，针对船舶新燃料动力设备，开展船用新燃料动力设备能效分级与评估。本标准能够适用于</w:t>
      </w:r>
      <w:r w:rsidR="00630376" w:rsidRPr="00630376">
        <w:rPr>
          <w:rFonts w:hAnsiTheme="minorEastAsia" w:hint="eastAsia"/>
          <w:color w:val="000000" w:themeColor="text1"/>
          <w:sz w:val="24"/>
        </w:rPr>
        <w:t>船用新燃料动力设备的能效评估和节能潜力分析</w:t>
      </w:r>
      <w:r w:rsidR="00630376">
        <w:rPr>
          <w:rFonts w:hAnsiTheme="minorEastAsia" w:hint="eastAsia"/>
          <w:color w:val="000000" w:themeColor="text1"/>
          <w:sz w:val="24"/>
        </w:rPr>
        <w:t>，能够在碳中和背景下有效保证船用新燃料动力设备的能量利用效率，使新燃料船舶保持合理的运营成本，并推进船用新燃料动力设备技术更新进步。</w:t>
      </w:r>
    </w:p>
    <w:p w14:paraId="36837F7E" w14:textId="77777777" w:rsidR="00CE0EFC" w:rsidRPr="001B3300" w:rsidRDefault="00CE0EFC" w:rsidP="00CE0EFC">
      <w:pPr>
        <w:spacing w:line="360" w:lineRule="auto"/>
        <w:jc w:val="left"/>
        <w:rPr>
          <w:rFonts w:hAnsiTheme="minorEastAsia"/>
          <w:b/>
          <w:color w:val="000000" w:themeColor="text1"/>
          <w:sz w:val="24"/>
        </w:rPr>
      </w:pPr>
      <w:r w:rsidRPr="001B3300">
        <w:rPr>
          <w:rFonts w:hAnsiTheme="minorEastAsia" w:hint="eastAsia"/>
          <w:b/>
          <w:color w:val="000000" w:themeColor="text1"/>
          <w:sz w:val="24"/>
        </w:rPr>
        <w:t>六、采用国际标准和国外先进标准情况</w:t>
      </w:r>
    </w:p>
    <w:p w14:paraId="326D82E2" w14:textId="69A8EFEB" w:rsidR="00630376" w:rsidRDefault="00274C5B" w:rsidP="00274C5B">
      <w:pPr>
        <w:spacing w:line="360" w:lineRule="auto"/>
        <w:ind w:firstLineChars="200" w:firstLine="480"/>
        <w:jc w:val="left"/>
        <w:rPr>
          <w:sz w:val="24"/>
          <w:szCs w:val="24"/>
        </w:rPr>
      </w:pPr>
      <w:r>
        <w:rPr>
          <w:rFonts w:hint="eastAsia"/>
          <w:sz w:val="24"/>
          <w:szCs w:val="24"/>
        </w:rPr>
        <w:t>无。</w:t>
      </w:r>
    </w:p>
    <w:p w14:paraId="4E1E8254" w14:textId="1B4F3F4D" w:rsidR="00CE0EFC" w:rsidRPr="001B3300" w:rsidRDefault="00CE0EFC" w:rsidP="00630376">
      <w:pPr>
        <w:spacing w:line="360" w:lineRule="auto"/>
        <w:jc w:val="left"/>
        <w:rPr>
          <w:rFonts w:hAnsiTheme="minorEastAsia"/>
          <w:b/>
          <w:color w:val="000000" w:themeColor="text1"/>
          <w:sz w:val="24"/>
        </w:rPr>
      </w:pPr>
      <w:r w:rsidRPr="001B3300">
        <w:rPr>
          <w:rFonts w:hAnsiTheme="minorEastAsia" w:hint="eastAsia"/>
          <w:b/>
          <w:color w:val="000000" w:themeColor="text1"/>
          <w:sz w:val="24"/>
        </w:rPr>
        <w:t>七、重大分歧意见的处理经过和依据</w:t>
      </w:r>
    </w:p>
    <w:p w14:paraId="51033A81" w14:textId="77777777" w:rsidR="009D78AC" w:rsidRPr="00043F62" w:rsidRDefault="009D78AC" w:rsidP="009D78AC">
      <w:pPr>
        <w:spacing w:line="360" w:lineRule="auto"/>
        <w:ind w:firstLine="480"/>
        <w:jc w:val="left"/>
        <w:rPr>
          <w:sz w:val="24"/>
          <w:szCs w:val="24"/>
        </w:rPr>
      </w:pPr>
      <w:r>
        <w:rPr>
          <w:rFonts w:hint="eastAsia"/>
          <w:sz w:val="24"/>
          <w:szCs w:val="24"/>
        </w:rPr>
        <w:t>无。</w:t>
      </w:r>
    </w:p>
    <w:p w14:paraId="13E636BC" w14:textId="77777777" w:rsidR="00CE0EFC" w:rsidRPr="001B3300" w:rsidRDefault="00CE0EFC" w:rsidP="00CE0EFC">
      <w:pPr>
        <w:spacing w:line="360" w:lineRule="auto"/>
        <w:jc w:val="left"/>
        <w:rPr>
          <w:rFonts w:hAnsiTheme="minorEastAsia"/>
          <w:b/>
          <w:color w:val="000000" w:themeColor="text1"/>
          <w:sz w:val="24"/>
        </w:rPr>
      </w:pPr>
      <w:r w:rsidRPr="001B3300">
        <w:rPr>
          <w:rFonts w:hAnsiTheme="minorEastAsia" w:hint="eastAsia"/>
          <w:b/>
          <w:color w:val="000000" w:themeColor="text1"/>
          <w:sz w:val="24"/>
        </w:rPr>
        <w:t>八、贯彻学会标准的要求和措施建议</w:t>
      </w:r>
    </w:p>
    <w:p w14:paraId="1D41BFA1" w14:textId="620E6F0C" w:rsidR="00874BA1" w:rsidRPr="00874BA1" w:rsidRDefault="00874BA1" w:rsidP="00682EFB">
      <w:pPr>
        <w:spacing w:line="360" w:lineRule="auto"/>
        <w:ind w:firstLineChars="200" w:firstLine="480"/>
        <w:jc w:val="left"/>
        <w:rPr>
          <w:sz w:val="24"/>
          <w:szCs w:val="24"/>
        </w:rPr>
      </w:pPr>
      <w:r w:rsidRPr="00874BA1">
        <w:rPr>
          <w:rFonts w:hint="eastAsia"/>
          <w:sz w:val="24"/>
          <w:szCs w:val="24"/>
        </w:rPr>
        <w:t>主编单位和各起草单位将积极推进标准宣传和培训，配合学会开展标准宣贯</w:t>
      </w:r>
      <w:r w:rsidR="00DE07F5">
        <w:rPr>
          <w:rFonts w:hint="eastAsia"/>
          <w:sz w:val="24"/>
          <w:szCs w:val="24"/>
        </w:rPr>
        <w:t>、</w:t>
      </w:r>
      <w:r w:rsidRPr="00874BA1">
        <w:rPr>
          <w:rFonts w:hint="eastAsia"/>
          <w:sz w:val="24"/>
          <w:szCs w:val="24"/>
        </w:rPr>
        <w:t>培训工作，使有关技术人员熟悉并掌握标准的各项技术要求，加强示范效应，让标准在行业内得到广泛推广和应用，使标准的应用落到实处。</w:t>
      </w:r>
    </w:p>
    <w:p w14:paraId="3A377B13" w14:textId="67367F07" w:rsidR="00AB3C19" w:rsidRPr="00043F62" w:rsidRDefault="00874BA1" w:rsidP="00874BA1">
      <w:pPr>
        <w:spacing w:line="360" w:lineRule="auto"/>
        <w:ind w:firstLine="480"/>
        <w:jc w:val="left"/>
        <w:rPr>
          <w:sz w:val="24"/>
          <w:szCs w:val="24"/>
        </w:rPr>
      </w:pPr>
      <w:r w:rsidRPr="00874BA1">
        <w:rPr>
          <w:rFonts w:hint="eastAsia"/>
          <w:sz w:val="24"/>
          <w:szCs w:val="24"/>
        </w:rPr>
        <w:t>主编单位和各起草单位将对《</w:t>
      </w:r>
      <w:r w:rsidR="00963D36" w:rsidRPr="00963D36">
        <w:rPr>
          <w:rFonts w:hint="eastAsia"/>
          <w:sz w:val="24"/>
          <w:szCs w:val="24"/>
        </w:rPr>
        <w:t>船用新燃料动力设备</w:t>
      </w:r>
      <w:r w:rsidR="00A927AC" w:rsidRPr="005246A6">
        <w:rPr>
          <w:rFonts w:hint="eastAsia"/>
          <w:sz w:val="24"/>
          <w:szCs w:val="24"/>
        </w:rPr>
        <w:t>能效</w:t>
      </w:r>
      <w:r w:rsidR="00A927AC">
        <w:rPr>
          <w:rFonts w:hint="eastAsia"/>
          <w:sz w:val="24"/>
          <w:szCs w:val="24"/>
        </w:rPr>
        <w:t>基值与分级原则</w:t>
      </w:r>
      <w:r w:rsidRPr="00874BA1">
        <w:rPr>
          <w:rFonts w:hint="eastAsia"/>
          <w:sz w:val="24"/>
          <w:szCs w:val="24"/>
        </w:rPr>
        <w:t>》团体标准实施应用情况进行跟踪调查，及时发现标准执行过程中的问题，不断修改完善，提高标准水平，提高标准的科学性、合理性、协调性和可操作性。</w:t>
      </w:r>
    </w:p>
    <w:p w14:paraId="72F853D0" w14:textId="77777777" w:rsidR="000E618B" w:rsidRDefault="000E618B" w:rsidP="000E618B">
      <w:pPr>
        <w:spacing w:line="360" w:lineRule="auto"/>
        <w:jc w:val="left"/>
        <w:rPr>
          <w:rFonts w:hAnsiTheme="minorEastAsia"/>
          <w:b/>
          <w:color w:val="000000" w:themeColor="text1"/>
          <w:sz w:val="24"/>
        </w:rPr>
      </w:pPr>
      <w:r w:rsidRPr="001B3300">
        <w:rPr>
          <w:rFonts w:hAnsiTheme="minorEastAsia" w:hint="eastAsia"/>
          <w:b/>
          <w:color w:val="000000" w:themeColor="text1"/>
          <w:sz w:val="24"/>
        </w:rPr>
        <w:t>九、其它应予说明的事</w:t>
      </w:r>
    </w:p>
    <w:p w14:paraId="35F1136E" w14:textId="5B096212" w:rsidR="00B439F8" w:rsidRPr="001B3300" w:rsidRDefault="000E618B" w:rsidP="001B68DA">
      <w:pPr>
        <w:spacing w:line="360" w:lineRule="auto"/>
        <w:ind w:firstLineChars="177" w:firstLine="425"/>
        <w:jc w:val="left"/>
        <w:rPr>
          <w:color w:val="000000" w:themeColor="text1"/>
        </w:rPr>
      </w:pPr>
      <w:r>
        <w:rPr>
          <w:rFonts w:hAnsiTheme="minorEastAsia" w:hint="eastAsia"/>
          <w:color w:val="000000" w:themeColor="text1"/>
          <w:sz w:val="24"/>
        </w:rPr>
        <w:t>无。</w:t>
      </w:r>
    </w:p>
    <w:sectPr w:rsidR="00B439F8" w:rsidRPr="001B33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53C8" w14:textId="77777777" w:rsidR="00B7230A" w:rsidRDefault="00B7230A" w:rsidP="008E6308">
      <w:r>
        <w:separator/>
      </w:r>
    </w:p>
  </w:endnote>
  <w:endnote w:type="continuationSeparator" w:id="0">
    <w:p w14:paraId="4810BCA5" w14:textId="77777777" w:rsidR="00B7230A" w:rsidRDefault="00B7230A" w:rsidP="008E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1AC1D" w14:textId="77777777" w:rsidR="00B7230A" w:rsidRDefault="00B7230A" w:rsidP="008E6308">
      <w:r>
        <w:separator/>
      </w:r>
    </w:p>
  </w:footnote>
  <w:footnote w:type="continuationSeparator" w:id="0">
    <w:p w14:paraId="6B6178E4" w14:textId="77777777" w:rsidR="00B7230A" w:rsidRDefault="00B7230A" w:rsidP="008E63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EFC"/>
    <w:rsid w:val="000454CA"/>
    <w:rsid w:val="00056014"/>
    <w:rsid w:val="00067B84"/>
    <w:rsid w:val="000C412B"/>
    <w:rsid w:val="000E4E84"/>
    <w:rsid w:val="000E618B"/>
    <w:rsid w:val="00100F7B"/>
    <w:rsid w:val="001051BD"/>
    <w:rsid w:val="00167DAF"/>
    <w:rsid w:val="001967F9"/>
    <w:rsid w:val="001B3300"/>
    <w:rsid w:val="001B68DA"/>
    <w:rsid w:val="001C5552"/>
    <w:rsid w:val="001C74EA"/>
    <w:rsid w:val="001D34A4"/>
    <w:rsid w:val="001E0172"/>
    <w:rsid w:val="001E328F"/>
    <w:rsid w:val="001E32E9"/>
    <w:rsid w:val="0022152D"/>
    <w:rsid w:val="00225291"/>
    <w:rsid w:val="00235A07"/>
    <w:rsid w:val="00260D52"/>
    <w:rsid w:val="002644B1"/>
    <w:rsid w:val="00274C5B"/>
    <w:rsid w:val="00283B56"/>
    <w:rsid w:val="002925D6"/>
    <w:rsid w:val="002B1681"/>
    <w:rsid w:val="002B3ECB"/>
    <w:rsid w:val="002F72B0"/>
    <w:rsid w:val="00331955"/>
    <w:rsid w:val="003D0193"/>
    <w:rsid w:val="00411BB8"/>
    <w:rsid w:val="00437D4C"/>
    <w:rsid w:val="004A16F3"/>
    <w:rsid w:val="004B33BD"/>
    <w:rsid w:val="004B6770"/>
    <w:rsid w:val="004D100E"/>
    <w:rsid w:val="004E1E12"/>
    <w:rsid w:val="004E542C"/>
    <w:rsid w:val="004F6C58"/>
    <w:rsid w:val="00510722"/>
    <w:rsid w:val="00511F84"/>
    <w:rsid w:val="005246A6"/>
    <w:rsid w:val="00526597"/>
    <w:rsid w:val="00527512"/>
    <w:rsid w:val="005433BD"/>
    <w:rsid w:val="00551D5A"/>
    <w:rsid w:val="00553FD3"/>
    <w:rsid w:val="005638FE"/>
    <w:rsid w:val="0056435C"/>
    <w:rsid w:val="00571536"/>
    <w:rsid w:val="005744CB"/>
    <w:rsid w:val="00592480"/>
    <w:rsid w:val="005A04DC"/>
    <w:rsid w:val="0062747A"/>
    <w:rsid w:val="00630376"/>
    <w:rsid w:val="0063717E"/>
    <w:rsid w:val="00681DF2"/>
    <w:rsid w:val="00682EFB"/>
    <w:rsid w:val="006C6F8D"/>
    <w:rsid w:val="006C760F"/>
    <w:rsid w:val="006D5404"/>
    <w:rsid w:val="0071077A"/>
    <w:rsid w:val="007138F9"/>
    <w:rsid w:val="00734879"/>
    <w:rsid w:val="00741DD2"/>
    <w:rsid w:val="00743392"/>
    <w:rsid w:val="007622D0"/>
    <w:rsid w:val="00765E21"/>
    <w:rsid w:val="007741BB"/>
    <w:rsid w:val="007A3718"/>
    <w:rsid w:val="007E461C"/>
    <w:rsid w:val="00815A08"/>
    <w:rsid w:val="0084561E"/>
    <w:rsid w:val="0084662F"/>
    <w:rsid w:val="00874BA1"/>
    <w:rsid w:val="00886703"/>
    <w:rsid w:val="008B0A26"/>
    <w:rsid w:val="008C67EB"/>
    <w:rsid w:val="008E6308"/>
    <w:rsid w:val="009057C7"/>
    <w:rsid w:val="0094212E"/>
    <w:rsid w:val="00963D36"/>
    <w:rsid w:val="009C387E"/>
    <w:rsid w:val="009D78AC"/>
    <w:rsid w:val="00A00A3D"/>
    <w:rsid w:val="00A26A6D"/>
    <w:rsid w:val="00A31255"/>
    <w:rsid w:val="00A576EF"/>
    <w:rsid w:val="00A927AC"/>
    <w:rsid w:val="00AB3C19"/>
    <w:rsid w:val="00B22481"/>
    <w:rsid w:val="00B30EF2"/>
    <w:rsid w:val="00B439F8"/>
    <w:rsid w:val="00B558AB"/>
    <w:rsid w:val="00B7230A"/>
    <w:rsid w:val="00BB6932"/>
    <w:rsid w:val="00BD1FBF"/>
    <w:rsid w:val="00BD7872"/>
    <w:rsid w:val="00BF0956"/>
    <w:rsid w:val="00C23218"/>
    <w:rsid w:val="00C3237A"/>
    <w:rsid w:val="00C51437"/>
    <w:rsid w:val="00C7270E"/>
    <w:rsid w:val="00CA03E5"/>
    <w:rsid w:val="00CA5D76"/>
    <w:rsid w:val="00CE0EFC"/>
    <w:rsid w:val="00CE1384"/>
    <w:rsid w:val="00CE71F9"/>
    <w:rsid w:val="00CF5103"/>
    <w:rsid w:val="00D0204F"/>
    <w:rsid w:val="00D32756"/>
    <w:rsid w:val="00D443C9"/>
    <w:rsid w:val="00D85C8B"/>
    <w:rsid w:val="00DA0089"/>
    <w:rsid w:val="00DB2EBE"/>
    <w:rsid w:val="00DE07F5"/>
    <w:rsid w:val="00DF65E7"/>
    <w:rsid w:val="00E239FF"/>
    <w:rsid w:val="00E3315F"/>
    <w:rsid w:val="00E76885"/>
    <w:rsid w:val="00E86FF3"/>
    <w:rsid w:val="00EC329E"/>
    <w:rsid w:val="00F13A32"/>
    <w:rsid w:val="00F155F2"/>
    <w:rsid w:val="00F76477"/>
    <w:rsid w:val="00FA4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0AC0D"/>
  <w15:docId w15:val="{A7F0D3F7-24FA-4F35-A26A-FE8B556D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0EFC"/>
    <w:pPr>
      <w:widowControl w:val="0"/>
      <w:jc w:val="both"/>
    </w:pPr>
    <w:rPr>
      <w:rFonts w:asciiTheme="minorEastAsia" w:cs="Times New Roman"/>
      <w:snapToGrid w:val="0"/>
      <w:kern w:val="0"/>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63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6308"/>
    <w:rPr>
      <w:rFonts w:asciiTheme="minorEastAsia" w:cs="Times New Roman"/>
      <w:snapToGrid w:val="0"/>
      <w:kern w:val="0"/>
      <w:sz w:val="18"/>
      <w:szCs w:val="18"/>
      <w:lang w:val="en-GB"/>
    </w:rPr>
  </w:style>
  <w:style w:type="paragraph" w:styleId="a5">
    <w:name w:val="footer"/>
    <w:basedOn w:val="a"/>
    <w:link w:val="a6"/>
    <w:uiPriority w:val="99"/>
    <w:unhideWhenUsed/>
    <w:rsid w:val="008E6308"/>
    <w:pPr>
      <w:tabs>
        <w:tab w:val="center" w:pos="4153"/>
        <w:tab w:val="right" w:pos="8306"/>
      </w:tabs>
      <w:snapToGrid w:val="0"/>
      <w:jc w:val="left"/>
    </w:pPr>
    <w:rPr>
      <w:sz w:val="18"/>
      <w:szCs w:val="18"/>
    </w:rPr>
  </w:style>
  <w:style w:type="character" w:customStyle="1" w:styleId="a6">
    <w:name w:val="页脚 字符"/>
    <w:basedOn w:val="a0"/>
    <w:link w:val="a5"/>
    <w:uiPriority w:val="99"/>
    <w:rsid w:val="008E6308"/>
    <w:rPr>
      <w:rFonts w:asciiTheme="minorEastAsia" w:cs="Times New Roman"/>
      <w:snapToGrid w:val="0"/>
      <w:kern w:val="0"/>
      <w:sz w:val="18"/>
      <w:szCs w:val="18"/>
      <w:lang w:val="en-GB"/>
    </w:rPr>
  </w:style>
  <w:style w:type="paragraph" w:customStyle="1" w:styleId="a7">
    <w:name w:val="标准文件_段"/>
    <w:link w:val="Char"/>
    <w:rsid w:val="00AB3C19"/>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7"/>
    <w:rsid w:val="00AB3C19"/>
    <w:rPr>
      <w:rFonts w:ascii="宋体" w:eastAsia="宋体" w:hAnsi="Times New Roman" w:cs="Times New Roman"/>
      <w:kern w:val="0"/>
      <w:szCs w:val="20"/>
    </w:rPr>
  </w:style>
  <w:style w:type="paragraph" w:styleId="a8">
    <w:name w:val="Balloon Text"/>
    <w:basedOn w:val="a"/>
    <w:link w:val="a9"/>
    <w:uiPriority w:val="99"/>
    <w:semiHidden/>
    <w:unhideWhenUsed/>
    <w:rsid w:val="00886703"/>
    <w:rPr>
      <w:sz w:val="18"/>
      <w:szCs w:val="18"/>
    </w:rPr>
  </w:style>
  <w:style w:type="character" w:customStyle="1" w:styleId="a9">
    <w:name w:val="批注框文本 字符"/>
    <w:basedOn w:val="a0"/>
    <w:link w:val="a8"/>
    <w:uiPriority w:val="99"/>
    <w:semiHidden/>
    <w:rsid w:val="00886703"/>
    <w:rPr>
      <w:rFonts w:asciiTheme="minorEastAsia" w:cs="Times New Roman"/>
      <w:snapToGrid w:val="0"/>
      <w:kern w:val="0"/>
      <w:sz w:val="18"/>
      <w:szCs w:val="18"/>
      <w:lang w:val="en-GB"/>
    </w:rPr>
  </w:style>
  <w:style w:type="paragraph" w:styleId="aa">
    <w:name w:val="Revision"/>
    <w:hidden/>
    <w:uiPriority w:val="99"/>
    <w:semiHidden/>
    <w:rsid w:val="00526597"/>
    <w:rPr>
      <w:rFonts w:asciiTheme="minorEastAsia" w:cs="Times New Roman"/>
      <w:snapToGrid w:val="0"/>
      <w:kern w:val="0"/>
      <w:szCs w:val="21"/>
      <w:lang w:val="en-GB"/>
    </w:rPr>
  </w:style>
  <w:style w:type="character" w:styleId="ab">
    <w:name w:val="annotation reference"/>
    <w:basedOn w:val="a0"/>
    <w:uiPriority w:val="99"/>
    <w:semiHidden/>
    <w:unhideWhenUsed/>
    <w:rsid w:val="00874BA1"/>
    <w:rPr>
      <w:sz w:val="21"/>
      <w:szCs w:val="21"/>
    </w:rPr>
  </w:style>
  <w:style w:type="paragraph" w:styleId="ac">
    <w:name w:val="annotation text"/>
    <w:basedOn w:val="a"/>
    <w:link w:val="ad"/>
    <w:uiPriority w:val="99"/>
    <w:semiHidden/>
    <w:unhideWhenUsed/>
    <w:rsid w:val="00874BA1"/>
    <w:pPr>
      <w:jc w:val="left"/>
    </w:pPr>
  </w:style>
  <w:style w:type="character" w:customStyle="1" w:styleId="ad">
    <w:name w:val="批注文字 字符"/>
    <w:basedOn w:val="a0"/>
    <w:link w:val="ac"/>
    <w:uiPriority w:val="99"/>
    <w:semiHidden/>
    <w:rsid w:val="00874BA1"/>
    <w:rPr>
      <w:rFonts w:asciiTheme="minorEastAsia" w:cs="Times New Roman"/>
      <w:snapToGrid w:val="0"/>
      <w:kern w:val="0"/>
      <w:szCs w:val="21"/>
      <w:lang w:val="en-GB"/>
    </w:rPr>
  </w:style>
  <w:style w:type="paragraph" w:styleId="ae">
    <w:name w:val="annotation subject"/>
    <w:basedOn w:val="ac"/>
    <w:next w:val="ac"/>
    <w:link w:val="af"/>
    <w:uiPriority w:val="99"/>
    <w:semiHidden/>
    <w:unhideWhenUsed/>
    <w:rsid w:val="00874BA1"/>
    <w:rPr>
      <w:b/>
      <w:bCs/>
    </w:rPr>
  </w:style>
  <w:style w:type="character" w:customStyle="1" w:styleId="af">
    <w:name w:val="批注主题 字符"/>
    <w:basedOn w:val="ad"/>
    <w:link w:val="ae"/>
    <w:uiPriority w:val="99"/>
    <w:semiHidden/>
    <w:rsid w:val="00874BA1"/>
    <w:rPr>
      <w:rFonts w:asciiTheme="minorEastAsia" w:cs="Times New Roman"/>
      <w:b/>
      <w:bCs/>
      <w:snapToGrid w:val="0"/>
      <w:kern w:val="0"/>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5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D3C7E-2550-4391-A0FC-7D7C6FF75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323</Words>
  <Characters>1847</Characters>
  <Application>Microsoft Office Word</Application>
  <DocSecurity>0</DocSecurity>
  <Lines>15</Lines>
  <Paragraphs>4</Paragraphs>
  <ScaleCrop>false</ScaleCrop>
  <Company>Microsoft</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LonYiLing</cp:lastModifiedBy>
  <cp:revision>29</cp:revision>
  <dcterms:created xsi:type="dcterms:W3CDTF">2024-10-04T13:01:00Z</dcterms:created>
  <dcterms:modified xsi:type="dcterms:W3CDTF">2024-11-02T12:19:00Z</dcterms:modified>
</cp:coreProperties>
</file>