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D1B244" w14:textId="30641D89" w:rsidR="00D93041" w:rsidRDefault="00D93041">
      <w:pPr>
        <w:spacing w:line="360" w:lineRule="auto"/>
        <w:ind w:firstLine="480"/>
        <w:jc w:val="left"/>
        <w:rPr>
          <w:rFonts w:ascii="黑体" w:eastAsia="黑体" w:hAnsi="华文细黑"/>
          <w:sz w:val="24"/>
        </w:rPr>
      </w:pPr>
      <w:bookmarkStart w:id="0" w:name="_GoBack"/>
      <w:bookmarkEnd w:id="0"/>
    </w:p>
    <w:tbl>
      <w:tblPr>
        <w:tblW w:w="0" w:type="auto"/>
        <w:jc w:val="center"/>
        <w:tblLayout w:type="fixed"/>
        <w:tblLook w:val="04A0" w:firstRow="1" w:lastRow="0" w:firstColumn="1" w:lastColumn="0" w:noHBand="0" w:noVBand="1"/>
      </w:tblPr>
      <w:tblGrid>
        <w:gridCol w:w="8177"/>
      </w:tblGrid>
      <w:tr w:rsidR="00D93041" w14:paraId="2578B1CD" w14:textId="77777777">
        <w:trPr>
          <w:trHeight w:val="1573"/>
          <w:jc w:val="center"/>
        </w:trPr>
        <w:tc>
          <w:tcPr>
            <w:tcW w:w="8177" w:type="dxa"/>
          </w:tcPr>
          <w:p w14:paraId="592B5E1B" w14:textId="77777777" w:rsidR="00D93041" w:rsidRDefault="00D93041">
            <w:pPr>
              <w:adjustRightInd w:val="0"/>
              <w:snapToGrid w:val="0"/>
              <w:spacing w:beforeLines="50" w:before="156"/>
              <w:ind w:firstLine="960"/>
              <w:jc w:val="center"/>
              <w:rPr>
                <w:rFonts w:eastAsia="黑体"/>
                <w:spacing w:val="20"/>
                <w:sz w:val="44"/>
              </w:rPr>
            </w:pPr>
          </w:p>
          <w:p w14:paraId="07EEF9EE" w14:textId="77777777" w:rsidR="00D93041" w:rsidRDefault="00D93041">
            <w:pPr>
              <w:adjustRightInd w:val="0"/>
              <w:snapToGrid w:val="0"/>
              <w:spacing w:beforeLines="50" w:before="156"/>
              <w:ind w:firstLine="960"/>
              <w:jc w:val="center"/>
              <w:rPr>
                <w:rFonts w:eastAsia="黑体"/>
                <w:spacing w:val="20"/>
                <w:sz w:val="44"/>
              </w:rPr>
            </w:pPr>
          </w:p>
          <w:p w14:paraId="36104042" w14:textId="77777777" w:rsidR="00D93041" w:rsidRDefault="00D16BCF">
            <w:pPr>
              <w:adjustRightInd w:val="0"/>
              <w:snapToGrid w:val="0"/>
              <w:spacing w:beforeLines="50" w:before="156"/>
              <w:ind w:firstLine="960"/>
              <w:jc w:val="center"/>
              <w:rPr>
                <w:rFonts w:ascii="宋体" w:eastAsia="黑体" w:hAnsi="Calibri"/>
                <w:spacing w:val="20"/>
                <w:sz w:val="44"/>
              </w:rPr>
            </w:pPr>
            <w:r>
              <w:rPr>
                <w:rFonts w:ascii="宋体" w:eastAsia="黑体" w:hAnsi="Calibri" w:hint="eastAsia"/>
                <w:spacing w:val="20"/>
                <w:sz w:val="44"/>
              </w:rPr>
              <w:t>中国造船工程学会标准</w:t>
            </w:r>
          </w:p>
          <w:p w14:paraId="34981073" w14:textId="77777777" w:rsidR="00D93041" w:rsidRDefault="00D16BCF">
            <w:pPr>
              <w:adjustRightInd w:val="0"/>
              <w:snapToGrid w:val="0"/>
              <w:spacing w:beforeLines="50" w:before="156"/>
              <w:ind w:firstLine="960"/>
              <w:jc w:val="center"/>
              <w:rPr>
                <w:rFonts w:eastAsia="黑体"/>
                <w:spacing w:val="20"/>
                <w:sz w:val="44"/>
              </w:rPr>
            </w:pPr>
            <w:r>
              <w:rPr>
                <w:rFonts w:ascii="宋体" w:eastAsia="黑体" w:hAnsi="Calibri" w:hint="eastAsia"/>
                <w:spacing w:val="20"/>
                <w:sz w:val="44"/>
              </w:rPr>
              <w:t>《</w:t>
            </w:r>
            <w:r>
              <w:rPr>
                <w:rFonts w:ascii="黑体" w:eastAsia="黑体" w:hAnsi="宋体" w:hint="eastAsia"/>
                <w:color w:val="000000"/>
                <w:sz w:val="44"/>
                <w:szCs w:val="44"/>
              </w:rPr>
              <w:t>系泊导缆孔安全衬套</w:t>
            </w:r>
            <w:r>
              <w:rPr>
                <w:rFonts w:ascii="黑体" w:eastAsia="黑体" w:hAnsi="宋体" w:hint="eastAsia"/>
                <w:color w:val="000000"/>
              </w:rPr>
              <w:t xml:space="preserve"> </w:t>
            </w:r>
            <w:r>
              <w:rPr>
                <w:rFonts w:ascii="宋体" w:eastAsia="黑体" w:hAnsi="Calibri" w:hint="eastAsia"/>
                <w:spacing w:val="20"/>
                <w:sz w:val="44"/>
              </w:rPr>
              <w:t>》</w:t>
            </w:r>
          </w:p>
          <w:p w14:paraId="1EC83061" w14:textId="77777777" w:rsidR="00D93041" w:rsidRDefault="00D93041">
            <w:pPr>
              <w:adjustRightInd w:val="0"/>
              <w:snapToGrid w:val="0"/>
              <w:spacing w:beforeLines="50" w:before="156"/>
              <w:ind w:firstLine="960"/>
              <w:jc w:val="center"/>
              <w:rPr>
                <w:rFonts w:eastAsia="黑体"/>
                <w:spacing w:val="20"/>
                <w:sz w:val="44"/>
              </w:rPr>
            </w:pPr>
          </w:p>
          <w:p w14:paraId="379332FE" w14:textId="77777777" w:rsidR="00D93041" w:rsidRDefault="00D93041">
            <w:pPr>
              <w:adjustRightInd w:val="0"/>
              <w:snapToGrid w:val="0"/>
              <w:spacing w:beforeLines="50" w:before="156"/>
              <w:ind w:firstLine="960"/>
              <w:jc w:val="center"/>
              <w:rPr>
                <w:rFonts w:eastAsia="黑体"/>
                <w:spacing w:val="20"/>
                <w:sz w:val="44"/>
              </w:rPr>
            </w:pPr>
          </w:p>
          <w:p w14:paraId="2B9B0E71" w14:textId="77777777" w:rsidR="00D93041" w:rsidRDefault="00D16BCF">
            <w:pPr>
              <w:adjustRightInd w:val="0"/>
              <w:snapToGrid w:val="0"/>
              <w:spacing w:beforeLines="50" w:before="156"/>
              <w:ind w:firstLine="960"/>
              <w:jc w:val="center"/>
              <w:rPr>
                <w:rFonts w:ascii="宋体" w:eastAsia="黑体" w:hAnsi="Calibri"/>
                <w:spacing w:val="20"/>
                <w:sz w:val="44"/>
              </w:rPr>
            </w:pPr>
            <w:r>
              <w:rPr>
                <w:rFonts w:ascii="宋体" w:eastAsia="黑体" w:hAnsi="Calibri" w:hint="eastAsia"/>
                <w:spacing w:val="20"/>
                <w:sz w:val="44"/>
              </w:rPr>
              <w:t>编制说明</w:t>
            </w:r>
          </w:p>
          <w:p w14:paraId="675A6F86" w14:textId="77777777" w:rsidR="00D93041" w:rsidRDefault="00D93041">
            <w:pPr>
              <w:ind w:firstLine="640"/>
              <w:jc w:val="center"/>
              <w:rPr>
                <w:rFonts w:ascii="宋体" w:eastAsia="黑体" w:hAnsi="Calibri"/>
                <w:spacing w:val="20"/>
                <w:sz w:val="28"/>
              </w:rPr>
            </w:pPr>
          </w:p>
          <w:p w14:paraId="151249C7" w14:textId="77777777" w:rsidR="00D93041" w:rsidRDefault="00D93041">
            <w:pPr>
              <w:ind w:firstLine="640"/>
              <w:jc w:val="center"/>
              <w:rPr>
                <w:rFonts w:ascii="宋体" w:eastAsia="黑体" w:hAnsi="Calibri"/>
                <w:spacing w:val="20"/>
                <w:sz w:val="28"/>
              </w:rPr>
            </w:pPr>
          </w:p>
          <w:p w14:paraId="0ACF4760" w14:textId="77777777" w:rsidR="00D93041" w:rsidRDefault="00D93041">
            <w:pPr>
              <w:ind w:firstLine="640"/>
              <w:jc w:val="center"/>
              <w:rPr>
                <w:rFonts w:ascii="宋体" w:eastAsia="黑体" w:hAnsi="Calibri"/>
                <w:spacing w:val="20"/>
                <w:sz w:val="28"/>
              </w:rPr>
            </w:pPr>
          </w:p>
          <w:p w14:paraId="01B7D2E1" w14:textId="77777777" w:rsidR="00D93041" w:rsidRDefault="00D93041">
            <w:pPr>
              <w:ind w:firstLine="640"/>
              <w:jc w:val="center"/>
              <w:rPr>
                <w:rFonts w:ascii="宋体" w:eastAsia="黑体" w:hAnsi="Calibri"/>
                <w:spacing w:val="20"/>
                <w:sz w:val="28"/>
              </w:rPr>
            </w:pPr>
          </w:p>
          <w:p w14:paraId="43D44284" w14:textId="77777777" w:rsidR="00D93041" w:rsidRDefault="00D93041">
            <w:pPr>
              <w:ind w:firstLine="640"/>
              <w:jc w:val="center"/>
              <w:rPr>
                <w:rFonts w:ascii="宋体" w:eastAsia="黑体" w:hAnsi="Calibri"/>
                <w:spacing w:val="20"/>
                <w:sz w:val="28"/>
              </w:rPr>
            </w:pPr>
          </w:p>
          <w:p w14:paraId="47FF165C" w14:textId="77777777" w:rsidR="00D93041" w:rsidRDefault="00D93041">
            <w:pPr>
              <w:ind w:firstLine="640"/>
              <w:jc w:val="center"/>
              <w:rPr>
                <w:rFonts w:ascii="宋体" w:eastAsia="黑体" w:hAnsi="Calibri"/>
                <w:spacing w:val="20"/>
                <w:sz w:val="28"/>
              </w:rPr>
            </w:pPr>
          </w:p>
          <w:p w14:paraId="6E2B1E70" w14:textId="77777777" w:rsidR="00D93041" w:rsidRDefault="00D93041">
            <w:pPr>
              <w:ind w:firstLine="640"/>
              <w:jc w:val="center"/>
              <w:rPr>
                <w:rFonts w:ascii="宋体" w:eastAsia="黑体" w:hAnsi="Calibri"/>
                <w:spacing w:val="20"/>
                <w:sz w:val="28"/>
              </w:rPr>
            </w:pPr>
          </w:p>
          <w:p w14:paraId="7361CF76" w14:textId="77777777" w:rsidR="00D93041" w:rsidRDefault="00D93041">
            <w:pPr>
              <w:ind w:firstLine="640"/>
              <w:jc w:val="center"/>
              <w:rPr>
                <w:rFonts w:ascii="宋体" w:eastAsia="黑体" w:hAnsi="Calibri"/>
                <w:spacing w:val="20"/>
                <w:sz w:val="28"/>
              </w:rPr>
            </w:pPr>
          </w:p>
          <w:p w14:paraId="0500454A" w14:textId="77777777" w:rsidR="00D93041" w:rsidRDefault="00D93041">
            <w:pPr>
              <w:adjustRightInd w:val="0"/>
              <w:snapToGrid w:val="0"/>
              <w:spacing w:beforeLines="50" w:before="156"/>
              <w:ind w:firstLine="960"/>
              <w:jc w:val="center"/>
              <w:rPr>
                <w:rFonts w:ascii="宋体" w:eastAsia="黑体" w:hAnsi="Calibri"/>
                <w:spacing w:val="20"/>
                <w:sz w:val="44"/>
              </w:rPr>
            </w:pPr>
          </w:p>
          <w:p w14:paraId="0BBF1DCE" w14:textId="77777777" w:rsidR="00D93041" w:rsidRDefault="00D16BCF">
            <w:pPr>
              <w:adjustRightInd w:val="0"/>
              <w:snapToGrid w:val="0"/>
              <w:spacing w:beforeLines="50" w:before="156"/>
              <w:ind w:firstLine="640"/>
              <w:jc w:val="center"/>
              <w:rPr>
                <w:rFonts w:ascii="宋体" w:eastAsia="黑体" w:hAnsi="Calibri"/>
                <w:sz w:val="44"/>
                <w:szCs w:val="44"/>
              </w:rPr>
            </w:pPr>
            <w:r>
              <w:rPr>
                <w:rFonts w:ascii="黑体" w:eastAsia="黑体" w:hint="eastAsia"/>
                <w:sz w:val="32"/>
                <w:szCs w:val="32"/>
                <w:lang w:val="en-US"/>
              </w:rPr>
              <w:t>2024</w:t>
            </w:r>
            <w:r>
              <w:rPr>
                <w:rFonts w:ascii="黑体" w:eastAsia="黑体" w:hAnsi="Calibri" w:hint="eastAsia"/>
                <w:sz w:val="32"/>
                <w:szCs w:val="32"/>
              </w:rPr>
              <w:t>年</w:t>
            </w:r>
            <w:r>
              <w:rPr>
                <w:rFonts w:ascii="黑体" w:eastAsia="黑体" w:hAnsi="Calibri" w:hint="eastAsia"/>
                <w:sz w:val="32"/>
                <w:szCs w:val="32"/>
                <w:lang w:val="en-US"/>
              </w:rPr>
              <w:t>7</w:t>
            </w:r>
            <w:r>
              <w:rPr>
                <w:rFonts w:ascii="黑体" w:eastAsia="黑体" w:hAnsi="Calibri" w:hint="eastAsia"/>
                <w:sz w:val="32"/>
                <w:szCs w:val="32"/>
              </w:rPr>
              <w:t>月</w:t>
            </w:r>
          </w:p>
        </w:tc>
      </w:tr>
    </w:tbl>
    <w:p w14:paraId="570C4914" w14:textId="77777777" w:rsidR="00D93041" w:rsidRDefault="00D93041">
      <w:pPr>
        <w:adjustRightInd w:val="0"/>
        <w:snapToGrid w:val="0"/>
        <w:spacing w:beforeLines="50" w:before="156"/>
        <w:ind w:firstLine="960"/>
        <w:jc w:val="center"/>
        <w:rPr>
          <w:rFonts w:eastAsia="黑体"/>
          <w:spacing w:val="20"/>
          <w:sz w:val="44"/>
        </w:rPr>
        <w:sectPr w:rsidR="00D93041">
          <w:pgSz w:w="11906" w:h="16838"/>
          <w:pgMar w:top="1440" w:right="1800" w:bottom="1440" w:left="1800" w:header="851" w:footer="992" w:gutter="0"/>
          <w:pgNumType w:start="1"/>
          <w:cols w:space="425"/>
          <w:docGrid w:type="lines" w:linePitch="312"/>
        </w:sectPr>
      </w:pPr>
    </w:p>
    <w:p w14:paraId="71795928" w14:textId="77777777" w:rsidR="00D93041" w:rsidRDefault="00D16BCF">
      <w:pPr>
        <w:spacing w:line="360" w:lineRule="auto"/>
        <w:jc w:val="left"/>
        <w:rPr>
          <w:rFonts w:hAnsiTheme="minorEastAsia"/>
          <w:b/>
          <w:sz w:val="24"/>
        </w:rPr>
      </w:pPr>
      <w:r>
        <w:rPr>
          <w:rFonts w:hAnsiTheme="minorEastAsia" w:hint="eastAsia"/>
          <w:b/>
          <w:sz w:val="24"/>
        </w:rPr>
        <w:lastRenderedPageBreak/>
        <w:t>一、工作简况</w:t>
      </w:r>
    </w:p>
    <w:p w14:paraId="2B011403" w14:textId="77777777" w:rsidR="00D93041" w:rsidRDefault="00D16BCF">
      <w:pPr>
        <w:spacing w:line="360" w:lineRule="auto"/>
        <w:jc w:val="left"/>
        <w:rPr>
          <w:rFonts w:ascii="宋体" w:eastAsia="宋体" w:hAnsi="宋体"/>
          <w:b/>
          <w:sz w:val="24"/>
        </w:rPr>
      </w:pPr>
      <w:r>
        <w:rPr>
          <w:rFonts w:ascii="宋体" w:eastAsia="宋体" w:hAnsi="宋体" w:hint="eastAsia"/>
          <w:b/>
          <w:sz w:val="24"/>
        </w:rPr>
        <w:t>（一）任务来源</w:t>
      </w:r>
    </w:p>
    <w:p w14:paraId="0E09F439" w14:textId="77777777" w:rsidR="00D93041" w:rsidRDefault="00D16BCF">
      <w:pPr>
        <w:spacing w:line="360" w:lineRule="auto"/>
        <w:ind w:firstLineChars="200" w:firstLine="480"/>
        <w:rPr>
          <w:rFonts w:ascii="宋体" w:eastAsia="宋体" w:hAnsi="宋体"/>
          <w:iCs/>
          <w:sz w:val="24"/>
        </w:rPr>
      </w:pPr>
      <w:r>
        <w:rPr>
          <w:rFonts w:ascii="宋体" w:eastAsia="宋体" w:hAnsi="宋体" w:hint="eastAsia"/>
          <w:iCs/>
          <w:sz w:val="24"/>
        </w:rPr>
        <w:t>根据中国造船工程学会关于下达《深水锚桩安装作业规程》等</w:t>
      </w:r>
      <w:r>
        <w:rPr>
          <w:rFonts w:ascii="宋体" w:eastAsia="宋体" w:hAnsi="宋体" w:hint="eastAsia"/>
          <w:iCs/>
          <w:sz w:val="24"/>
        </w:rPr>
        <w:t>13</w:t>
      </w:r>
      <w:r>
        <w:rPr>
          <w:rFonts w:ascii="宋体" w:eastAsia="宋体" w:hAnsi="宋体" w:hint="eastAsia"/>
          <w:iCs/>
          <w:sz w:val="24"/>
        </w:rPr>
        <w:t>项团体标准计划的通知（船会</w:t>
      </w:r>
      <w:r>
        <w:rPr>
          <w:rFonts w:ascii="宋体" w:eastAsia="宋体" w:hAnsi="宋体" w:hint="eastAsia"/>
          <w:iCs/>
          <w:sz w:val="24"/>
        </w:rPr>
        <w:t>[202</w:t>
      </w:r>
      <w:r>
        <w:rPr>
          <w:rFonts w:ascii="宋体" w:eastAsia="宋体" w:hAnsi="宋体"/>
          <w:iCs/>
          <w:sz w:val="24"/>
        </w:rPr>
        <w:t>4</w:t>
      </w:r>
      <w:r>
        <w:rPr>
          <w:rFonts w:ascii="宋体" w:eastAsia="宋体" w:hAnsi="宋体" w:hint="eastAsia"/>
          <w:iCs/>
          <w:sz w:val="24"/>
        </w:rPr>
        <w:t>]</w:t>
      </w:r>
      <w:r>
        <w:rPr>
          <w:rFonts w:ascii="宋体" w:eastAsia="宋体" w:hAnsi="宋体"/>
          <w:iCs/>
          <w:sz w:val="24"/>
        </w:rPr>
        <w:t>79</w:t>
      </w:r>
      <w:r>
        <w:rPr>
          <w:rFonts w:ascii="宋体" w:eastAsia="宋体" w:hAnsi="宋体" w:hint="eastAsia"/>
          <w:iCs/>
          <w:sz w:val="24"/>
        </w:rPr>
        <w:t>号），《系泊导缆孔安全衬套》</w:t>
      </w:r>
      <w:r>
        <w:rPr>
          <w:rFonts w:ascii="宋体" w:eastAsia="宋体" w:hAnsi="宋体" w:hint="eastAsia"/>
          <w:iCs/>
          <w:sz w:val="24"/>
        </w:rPr>
        <w:t xml:space="preserve">(T/CSNAME </w:t>
      </w:r>
      <w:r>
        <w:rPr>
          <w:rFonts w:ascii="宋体" w:eastAsia="宋体" w:hAnsi="宋体"/>
          <w:iCs/>
          <w:sz w:val="24"/>
        </w:rPr>
        <w:t>112</w:t>
      </w:r>
      <w:r>
        <w:rPr>
          <w:rFonts w:ascii="宋体" w:eastAsia="宋体" w:hAnsi="宋体" w:hint="eastAsia"/>
          <w:iCs/>
          <w:sz w:val="24"/>
        </w:rPr>
        <w:t>-XXXX)</w:t>
      </w:r>
      <w:r>
        <w:rPr>
          <w:rFonts w:ascii="宋体" w:eastAsia="宋体" w:hAnsi="宋体" w:hint="eastAsia"/>
          <w:iCs/>
          <w:sz w:val="24"/>
        </w:rPr>
        <w:t>由启东海大聚龙新材料科技有限公司负责编制，。编制时间为</w:t>
      </w:r>
      <w:r>
        <w:rPr>
          <w:rFonts w:ascii="宋体" w:eastAsia="宋体" w:hAnsi="宋体" w:hint="eastAsia"/>
          <w:iCs/>
          <w:sz w:val="24"/>
        </w:rPr>
        <w:t>20</w:t>
      </w:r>
      <w:r>
        <w:rPr>
          <w:rFonts w:ascii="宋体" w:eastAsia="宋体" w:hAnsi="宋体"/>
          <w:iCs/>
          <w:sz w:val="24"/>
        </w:rPr>
        <w:t>24</w:t>
      </w:r>
      <w:r>
        <w:rPr>
          <w:rFonts w:ascii="宋体" w:eastAsia="宋体" w:hAnsi="宋体" w:hint="eastAsia"/>
          <w:iCs/>
          <w:sz w:val="24"/>
        </w:rPr>
        <w:t>年</w:t>
      </w:r>
      <w:r>
        <w:rPr>
          <w:rFonts w:ascii="宋体" w:eastAsia="宋体" w:hAnsi="宋体"/>
          <w:iCs/>
          <w:sz w:val="24"/>
        </w:rPr>
        <w:t>8</w:t>
      </w:r>
      <w:r>
        <w:rPr>
          <w:rFonts w:ascii="宋体" w:eastAsia="宋体" w:hAnsi="宋体" w:hint="eastAsia"/>
          <w:iCs/>
          <w:sz w:val="24"/>
        </w:rPr>
        <w:t>月</w:t>
      </w:r>
      <w:r>
        <w:rPr>
          <w:rFonts w:ascii="宋体" w:eastAsia="宋体" w:hAnsi="宋体" w:hint="eastAsia"/>
          <w:iCs/>
          <w:sz w:val="24"/>
        </w:rPr>
        <w:t>-20</w:t>
      </w:r>
      <w:r>
        <w:rPr>
          <w:rFonts w:ascii="宋体" w:eastAsia="宋体" w:hAnsi="宋体"/>
          <w:iCs/>
          <w:sz w:val="24"/>
        </w:rPr>
        <w:t>25</w:t>
      </w:r>
      <w:r>
        <w:rPr>
          <w:rFonts w:ascii="宋体" w:eastAsia="宋体" w:hAnsi="宋体" w:hint="eastAsia"/>
          <w:iCs/>
          <w:sz w:val="24"/>
        </w:rPr>
        <w:t>年</w:t>
      </w:r>
      <w:r>
        <w:rPr>
          <w:rFonts w:ascii="宋体" w:eastAsia="宋体" w:hAnsi="宋体"/>
          <w:iCs/>
          <w:sz w:val="24"/>
        </w:rPr>
        <w:t>8</w:t>
      </w:r>
      <w:r>
        <w:rPr>
          <w:rFonts w:ascii="宋体" w:eastAsia="宋体" w:hAnsi="宋体" w:hint="eastAsia"/>
          <w:iCs/>
          <w:sz w:val="24"/>
        </w:rPr>
        <w:t>月。</w:t>
      </w:r>
    </w:p>
    <w:p w14:paraId="02F4194B" w14:textId="77777777" w:rsidR="00D93041" w:rsidRDefault="00D16BCF">
      <w:pPr>
        <w:spacing w:line="360" w:lineRule="auto"/>
        <w:jc w:val="left"/>
        <w:rPr>
          <w:rFonts w:ascii="宋体" w:eastAsia="宋体" w:hAnsi="宋体"/>
          <w:b/>
          <w:sz w:val="24"/>
        </w:rPr>
      </w:pPr>
      <w:r>
        <w:rPr>
          <w:rFonts w:ascii="宋体" w:eastAsia="宋体" w:hAnsi="宋体" w:hint="eastAsia"/>
          <w:b/>
          <w:sz w:val="24"/>
        </w:rPr>
        <w:t>（二）标准的研究、起草过程</w:t>
      </w:r>
    </w:p>
    <w:p w14:paraId="1DB7FA4D" w14:textId="77777777" w:rsidR="00D93041" w:rsidRDefault="00D16BCF">
      <w:pPr>
        <w:spacing w:line="360" w:lineRule="auto"/>
        <w:ind w:firstLineChars="200" w:firstLine="480"/>
        <w:rPr>
          <w:rFonts w:ascii="宋体" w:eastAsia="宋体" w:hAnsi="宋体"/>
          <w:iCs/>
          <w:sz w:val="24"/>
        </w:rPr>
      </w:pPr>
      <w:r>
        <w:rPr>
          <w:rFonts w:ascii="宋体" w:eastAsia="宋体" w:hAnsi="宋体" w:hint="eastAsia"/>
          <w:iCs/>
          <w:sz w:val="24"/>
        </w:rPr>
        <w:t>2024</w:t>
      </w:r>
      <w:r>
        <w:rPr>
          <w:rFonts w:ascii="宋体" w:eastAsia="宋体" w:hAnsi="宋体" w:hint="eastAsia"/>
          <w:iCs/>
          <w:sz w:val="24"/>
        </w:rPr>
        <w:t>年</w:t>
      </w:r>
      <w:r>
        <w:rPr>
          <w:rFonts w:ascii="宋体" w:eastAsia="宋体" w:hAnsi="宋体" w:hint="eastAsia"/>
          <w:iCs/>
          <w:sz w:val="24"/>
        </w:rPr>
        <w:t>8</w:t>
      </w:r>
      <w:r>
        <w:rPr>
          <w:rFonts w:ascii="宋体" w:eastAsia="宋体" w:hAnsi="宋体" w:hint="eastAsia"/>
          <w:iCs/>
          <w:sz w:val="24"/>
        </w:rPr>
        <w:t>月，成立编制组，明确编制人员的分工，编制完成标准草案。根据立项评审专家意见对标准草案进行修改，形成标准征求意见稿及标准编制说明（征求意见稿）。</w:t>
      </w:r>
    </w:p>
    <w:p w14:paraId="45D93EDD" w14:textId="77777777" w:rsidR="00D93041" w:rsidRDefault="00D16BCF">
      <w:pPr>
        <w:spacing w:line="360" w:lineRule="auto"/>
        <w:jc w:val="left"/>
        <w:rPr>
          <w:rFonts w:hAnsiTheme="minorEastAsia"/>
          <w:b/>
          <w:sz w:val="24"/>
        </w:rPr>
      </w:pPr>
      <w:r>
        <w:rPr>
          <w:rFonts w:hAnsiTheme="minorEastAsia" w:hint="eastAsia"/>
          <w:b/>
          <w:sz w:val="24"/>
        </w:rPr>
        <w:t>二、标准编制原则及主要技术内容</w:t>
      </w:r>
    </w:p>
    <w:p w14:paraId="521A7FA4" w14:textId="77777777" w:rsidR="00D93041" w:rsidRDefault="00D16BCF">
      <w:pPr>
        <w:spacing w:line="360" w:lineRule="auto"/>
        <w:jc w:val="left"/>
        <w:rPr>
          <w:rFonts w:ascii="宋体" w:eastAsia="宋体" w:hAnsi="宋体"/>
          <w:b/>
          <w:sz w:val="24"/>
        </w:rPr>
      </w:pPr>
      <w:r>
        <w:rPr>
          <w:rFonts w:ascii="宋体" w:eastAsia="宋体" w:hAnsi="宋体" w:hint="eastAsia"/>
          <w:b/>
          <w:sz w:val="24"/>
        </w:rPr>
        <w:t>（一）编制原则</w:t>
      </w:r>
    </w:p>
    <w:p w14:paraId="7DC5355E" w14:textId="77777777" w:rsidR="00D93041" w:rsidRDefault="00D16BCF">
      <w:pPr>
        <w:spacing w:line="360" w:lineRule="auto"/>
        <w:ind w:firstLineChars="200" w:firstLine="480"/>
        <w:rPr>
          <w:rFonts w:ascii="宋体" w:eastAsia="宋体" w:hAnsi="宋体"/>
          <w:iCs/>
          <w:sz w:val="24"/>
        </w:rPr>
      </w:pPr>
      <w:r>
        <w:rPr>
          <w:rFonts w:ascii="宋体" w:eastAsia="宋体" w:hAnsi="宋体" w:hint="eastAsia"/>
          <w:iCs/>
          <w:sz w:val="24"/>
        </w:rPr>
        <w:t>1.</w:t>
      </w:r>
      <w:r>
        <w:rPr>
          <w:rFonts w:ascii="宋体" w:eastAsia="宋体" w:hAnsi="宋体" w:hint="eastAsia"/>
          <w:iCs/>
          <w:sz w:val="24"/>
        </w:rPr>
        <w:t>先进性</w:t>
      </w:r>
    </w:p>
    <w:p w14:paraId="4EC63A71" w14:textId="77777777" w:rsidR="00D93041" w:rsidRDefault="00D16BCF">
      <w:pPr>
        <w:spacing w:line="360" w:lineRule="auto"/>
        <w:ind w:firstLineChars="200" w:firstLine="480"/>
        <w:rPr>
          <w:rFonts w:ascii="宋体" w:eastAsia="宋体" w:hAnsi="宋体"/>
          <w:iCs/>
          <w:sz w:val="24"/>
        </w:rPr>
      </w:pPr>
      <w:r>
        <w:rPr>
          <w:rFonts w:ascii="宋体" w:eastAsia="宋体" w:hAnsi="宋体" w:hint="eastAsia"/>
          <w:iCs/>
          <w:sz w:val="24"/>
        </w:rPr>
        <w:t>启东海大聚龙新材料科技有限公司生产制造的</w:t>
      </w:r>
      <w:r>
        <w:rPr>
          <w:rFonts w:ascii="宋体" w:eastAsia="宋体" w:hAnsi="宋体" w:hint="eastAsia"/>
          <w:iCs/>
          <w:sz w:val="24"/>
        </w:rPr>
        <w:t xml:space="preserve">HD-STD-DL </w:t>
      </w:r>
      <w:r>
        <w:rPr>
          <w:rFonts w:ascii="宋体" w:eastAsia="宋体" w:hAnsi="宋体" w:hint="eastAsia"/>
          <w:iCs/>
          <w:sz w:val="24"/>
        </w:rPr>
        <w:t>标准型和</w:t>
      </w:r>
      <w:proofErr w:type="gramStart"/>
      <w:r>
        <w:rPr>
          <w:rFonts w:ascii="宋体" w:eastAsia="宋体" w:hAnsi="宋体" w:hint="eastAsia"/>
          <w:iCs/>
          <w:sz w:val="24"/>
        </w:rPr>
        <w:t>缓冲型导缆</w:t>
      </w:r>
      <w:proofErr w:type="gramEnd"/>
      <w:r>
        <w:rPr>
          <w:rFonts w:ascii="宋体" w:eastAsia="宋体" w:hAnsi="宋体" w:hint="eastAsia"/>
          <w:iCs/>
          <w:sz w:val="24"/>
        </w:rPr>
        <w:t>衬套已在国内外相关船舶上得到广泛推广和应用，其标准制定和实施可以引领并支撑船舶行业高质量发展。</w:t>
      </w:r>
    </w:p>
    <w:p w14:paraId="3380EA51" w14:textId="77777777" w:rsidR="00D93041" w:rsidRDefault="00D16BCF">
      <w:pPr>
        <w:spacing w:line="360" w:lineRule="auto"/>
        <w:ind w:firstLineChars="200" w:firstLine="480"/>
        <w:rPr>
          <w:rFonts w:ascii="宋体" w:eastAsia="宋体" w:hAnsi="宋体"/>
          <w:iCs/>
          <w:sz w:val="24"/>
        </w:rPr>
      </w:pPr>
      <w:r>
        <w:rPr>
          <w:rFonts w:ascii="宋体" w:eastAsia="宋体" w:hAnsi="宋体" w:hint="eastAsia"/>
          <w:iCs/>
          <w:sz w:val="24"/>
        </w:rPr>
        <w:t>2.</w:t>
      </w:r>
      <w:r>
        <w:rPr>
          <w:rFonts w:ascii="宋体" w:eastAsia="宋体" w:hAnsi="宋体" w:hint="eastAsia"/>
          <w:iCs/>
          <w:sz w:val="24"/>
        </w:rPr>
        <w:t>协调性</w:t>
      </w:r>
    </w:p>
    <w:p w14:paraId="3DC673A1" w14:textId="77777777" w:rsidR="00D93041" w:rsidRDefault="00D16BCF">
      <w:pPr>
        <w:spacing w:line="360" w:lineRule="auto"/>
        <w:ind w:firstLineChars="200" w:firstLine="480"/>
        <w:rPr>
          <w:rFonts w:ascii="宋体" w:eastAsia="宋体" w:hAnsi="宋体"/>
          <w:iCs/>
          <w:sz w:val="24"/>
        </w:rPr>
      </w:pPr>
      <w:r>
        <w:rPr>
          <w:rFonts w:ascii="宋体" w:eastAsia="宋体" w:hAnsi="宋体" w:hint="eastAsia"/>
          <w:iCs/>
          <w:sz w:val="24"/>
        </w:rPr>
        <w:t>本标准与国内外相关标准和</w:t>
      </w:r>
      <w:r>
        <w:rPr>
          <w:rFonts w:ascii="宋体" w:eastAsia="宋体" w:hAnsi="宋体" w:hint="eastAsia"/>
          <w:iCs/>
          <w:sz w:val="24"/>
        </w:rPr>
        <w:t>CCS</w:t>
      </w:r>
      <w:r>
        <w:rPr>
          <w:rFonts w:ascii="宋体" w:eastAsia="宋体" w:hAnsi="宋体" w:hint="eastAsia"/>
          <w:iCs/>
          <w:sz w:val="24"/>
        </w:rPr>
        <w:t>船级社规范保持协调一致，没有冲突性。</w:t>
      </w:r>
    </w:p>
    <w:p w14:paraId="319D613E" w14:textId="77777777" w:rsidR="00D93041" w:rsidRDefault="00D16BCF">
      <w:pPr>
        <w:spacing w:line="360" w:lineRule="auto"/>
        <w:jc w:val="left"/>
        <w:rPr>
          <w:rFonts w:ascii="宋体" w:eastAsia="宋体" w:hAnsi="宋体"/>
          <w:b/>
          <w:sz w:val="24"/>
        </w:rPr>
      </w:pPr>
      <w:r>
        <w:rPr>
          <w:rFonts w:ascii="宋体" w:eastAsia="宋体" w:hAnsi="宋体" w:hint="eastAsia"/>
          <w:b/>
          <w:sz w:val="24"/>
        </w:rPr>
        <w:t>（二）标准主要内容</w:t>
      </w:r>
    </w:p>
    <w:p w14:paraId="3345C7D5" w14:textId="77777777" w:rsidR="00D93041" w:rsidRDefault="00D16BCF">
      <w:pPr>
        <w:spacing w:line="360" w:lineRule="auto"/>
        <w:ind w:firstLineChars="200" w:firstLine="480"/>
        <w:rPr>
          <w:rFonts w:ascii="宋体" w:eastAsia="宋体" w:hAnsi="宋体"/>
          <w:iCs/>
          <w:sz w:val="24"/>
        </w:rPr>
      </w:pPr>
      <w:r>
        <w:rPr>
          <w:rFonts w:ascii="宋体" w:eastAsia="宋体" w:hAnsi="宋体" w:hint="eastAsia"/>
          <w:iCs/>
          <w:sz w:val="24"/>
        </w:rPr>
        <w:t>本文件规定了船用</w:t>
      </w:r>
      <w:proofErr w:type="gramStart"/>
      <w:r>
        <w:rPr>
          <w:rFonts w:ascii="宋体" w:eastAsia="宋体" w:hAnsi="宋体" w:hint="eastAsia"/>
          <w:iCs/>
          <w:sz w:val="24"/>
        </w:rPr>
        <w:t>导缆套</w:t>
      </w:r>
      <w:r>
        <w:rPr>
          <w:rFonts w:ascii="宋体" w:eastAsia="宋体" w:hAnsi="宋体" w:hint="eastAsia"/>
          <w:iCs/>
          <w:sz w:val="24"/>
        </w:rPr>
        <w:t>衬板</w:t>
      </w:r>
      <w:proofErr w:type="gramEnd"/>
      <w:r>
        <w:rPr>
          <w:rFonts w:ascii="宋体" w:eastAsia="宋体" w:hAnsi="宋体" w:hint="eastAsia"/>
          <w:iCs/>
          <w:sz w:val="24"/>
        </w:rPr>
        <w:t>（以下简称“衬板”）的分类、要求、试验方法、检验规则、标志、包装和贮存。</w:t>
      </w:r>
    </w:p>
    <w:p w14:paraId="3ACA9C32" w14:textId="77777777" w:rsidR="00D93041" w:rsidRDefault="00D16BCF">
      <w:pPr>
        <w:spacing w:line="360" w:lineRule="auto"/>
        <w:ind w:firstLineChars="200" w:firstLine="480"/>
        <w:rPr>
          <w:rFonts w:ascii="宋体" w:eastAsia="宋体" w:hAnsi="宋体"/>
          <w:iCs/>
          <w:sz w:val="24"/>
        </w:rPr>
      </w:pPr>
      <w:r>
        <w:rPr>
          <w:rFonts w:ascii="宋体" w:eastAsia="宋体" w:hAnsi="宋体" w:hint="eastAsia"/>
          <w:iCs/>
          <w:sz w:val="24"/>
        </w:rPr>
        <w:t>本文件适用于船舶系泊用</w:t>
      </w:r>
      <w:proofErr w:type="gramStart"/>
      <w:r>
        <w:rPr>
          <w:rFonts w:ascii="宋体" w:eastAsia="宋体" w:hAnsi="宋体" w:hint="eastAsia"/>
          <w:iCs/>
          <w:sz w:val="24"/>
        </w:rPr>
        <w:t>导缆套衬板</w:t>
      </w:r>
      <w:proofErr w:type="gramEnd"/>
      <w:r>
        <w:rPr>
          <w:rFonts w:ascii="宋体" w:eastAsia="宋体" w:hAnsi="宋体" w:hint="eastAsia"/>
          <w:iCs/>
          <w:sz w:val="24"/>
        </w:rPr>
        <w:t>的设计、制造和应用，其他海洋工程、海上设施及码头系泊也可以参考使用。</w:t>
      </w:r>
    </w:p>
    <w:p w14:paraId="17AFCDFE" w14:textId="77777777" w:rsidR="00D93041" w:rsidRDefault="00D16BCF">
      <w:pPr>
        <w:spacing w:line="360" w:lineRule="auto"/>
        <w:jc w:val="left"/>
        <w:rPr>
          <w:rFonts w:hAnsiTheme="minorEastAsia"/>
          <w:b/>
          <w:sz w:val="24"/>
        </w:rPr>
      </w:pPr>
      <w:r>
        <w:rPr>
          <w:rFonts w:hAnsiTheme="minorEastAsia" w:hint="eastAsia"/>
          <w:b/>
          <w:sz w:val="24"/>
        </w:rPr>
        <w:t>（三）主要技术指标确定依据</w:t>
      </w:r>
    </w:p>
    <w:tbl>
      <w:tblPr>
        <w:tblStyle w:val="ac"/>
        <w:tblW w:w="8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423"/>
        <w:gridCol w:w="3092"/>
      </w:tblGrid>
      <w:tr w:rsidR="00D93041" w:rsidRPr="00D16BCF" w14:paraId="17E2ACD7" w14:textId="77777777" w:rsidTr="00D16BCF">
        <w:trPr>
          <w:trHeight w:val="20"/>
        </w:trPr>
        <w:tc>
          <w:tcPr>
            <w:tcW w:w="2803" w:type="dxa"/>
            <w:vAlign w:val="center"/>
          </w:tcPr>
          <w:p w14:paraId="489DEFDB" w14:textId="1BF8FEA9" w:rsidR="00D93041" w:rsidRPr="00D16BCF" w:rsidRDefault="00D16BCF" w:rsidP="00D16BCF">
            <w:pPr>
              <w:pStyle w:val="a8"/>
              <w:jc w:val="center"/>
              <w:rPr>
                <w:sz w:val="21"/>
                <w:szCs w:val="21"/>
              </w:rPr>
            </w:pPr>
            <w:r w:rsidRPr="00D16BCF">
              <w:rPr>
                <w:rFonts w:hint="eastAsia"/>
                <w:b/>
                <w:bCs/>
                <w:sz w:val="21"/>
                <w:szCs w:val="21"/>
              </w:rPr>
              <w:t>项</w:t>
            </w:r>
            <w:r w:rsidRPr="00D16BCF">
              <w:rPr>
                <w:rFonts w:hint="eastAsia"/>
                <w:b/>
                <w:bCs/>
                <w:sz w:val="21"/>
                <w:szCs w:val="21"/>
              </w:rPr>
              <w:t>目</w:t>
            </w:r>
          </w:p>
        </w:tc>
        <w:tc>
          <w:tcPr>
            <w:tcW w:w="2423" w:type="dxa"/>
            <w:vAlign w:val="center"/>
          </w:tcPr>
          <w:p w14:paraId="0373875E" w14:textId="6C770FAF" w:rsidR="00D93041" w:rsidRPr="00D16BCF" w:rsidRDefault="00D16BCF" w:rsidP="00D16BCF">
            <w:pPr>
              <w:pStyle w:val="a8"/>
              <w:jc w:val="center"/>
              <w:rPr>
                <w:sz w:val="21"/>
                <w:szCs w:val="21"/>
              </w:rPr>
            </w:pPr>
            <w:r>
              <w:rPr>
                <w:rFonts w:hint="eastAsia"/>
                <w:b/>
                <w:bCs/>
                <w:sz w:val="21"/>
                <w:szCs w:val="21"/>
              </w:rPr>
              <w:t>确定依据</w:t>
            </w:r>
          </w:p>
        </w:tc>
        <w:tc>
          <w:tcPr>
            <w:tcW w:w="3092" w:type="dxa"/>
            <w:vAlign w:val="center"/>
          </w:tcPr>
          <w:p w14:paraId="55F1490C" w14:textId="77777777" w:rsidR="00D93041" w:rsidRPr="00D16BCF" w:rsidRDefault="00D16BCF" w:rsidP="00D16BCF">
            <w:pPr>
              <w:pStyle w:val="a8"/>
              <w:jc w:val="center"/>
              <w:rPr>
                <w:sz w:val="21"/>
                <w:szCs w:val="21"/>
              </w:rPr>
            </w:pPr>
            <w:r w:rsidRPr="00D16BCF">
              <w:rPr>
                <w:rFonts w:hint="eastAsia"/>
                <w:b/>
                <w:bCs/>
                <w:sz w:val="21"/>
                <w:szCs w:val="21"/>
              </w:rPr>
              <w:t>性能指标</w:t>
            </w:r>
          </w:p>
        </w:tc>
      </w:tr>
      <w:tr w:rsidR="00D93041" w:rsidRPr="00D16BCF" w14:paraId="7068A28E" w14:textId="77777777" w:rsidTr="00D16BCF">
        <w:trPr>
          <w:trHeight w:val="20"/>
        </w:trPr>
        <w:tc>
          <w:tcPr>
            <w:tcW w:w="2803" w:type="dxa"/>
            <w:vAlign w:val="center"/>
          </w:tcPr>
          <w:p w14:paraId="5446BA7B" w14:textId="77777777" w:rsidR="00D93041" w:rsidRPr="00D16BCF" w:rsidRDefault="00D16BCF" w:rsidP="00D16BCF">
            <w:pPr>
              <w:pStyle w:val="a8"/>
              <w:jc w:val="center"/>
              <w:rPr>
                <w:sz w:val="21"/>
                <w:szCs w:val="21"/>
              </w:rPr>
            </w:pPr>
            <w:r w:rsidRPr="00D16BCF">
              <w:rPr>
                <w:rFonts w:hint="eastAsia"/>
                <w:sz w:val="21"/>
                <w:szCs w:val="21"/>
              </w:rPr>
              <w:t>硬度</w:t>
            </w:r>
            <w:r w:rsidRPr="00D16BCF">
              <w:rPr>
                <w:rFonts w:hint="eastAsia"/>
                <w:sz w:val="21"/>
                <w:szCs w:val="21"/>
              </w:rPr>
              <w:t> </w:t>
            </w:r>
            <w:proofErr w:type="gramStart"/>
            <w:r w:rsidRPr="00D16BCF">
              <w:rPr>
                <w:rFonts w:hint="eastAsia"/>
                <w:sz w:val="21"/>
                <w:szCs w:val="21"/>
              </w:rPr>
              <w:t>邵</w:t>
            </w:r>
            <w:proofErr w:type="gramEnd"/>
            <w:r w:rsidRPr="00D16BCF">
              <w:rPr>
                <w:rFonts w:hint="eastAsia"/>
                <w:sz w:val="21"/>
                <w:szCs w:val="21"/>
              </w:rPr>
              <w:t> </w:t>
            </w:r>
            <w:r w:rsidRPr="00D16BCF">
              <w:rPr>
                <w:rFonts w:cs="Calibri"/>
                <w:sz w:val="21"/>
                <w:szCs w:val="21"/>
              </w:rPr>
              <w:t>D</w:t>
            </w:r>
          </w:p>
        </w:tc>
        <w:tc>
          <w:tcPr>
            <w:tcW w:w="2423" w:type="dxa"/>
            <w:vAlign w:val="center"/>
          </w:tcPr>
          <w:p w14:paraId="57E41AF6" w14:textId="77777777" w:rsidR="00D93041" w:rsidRPr="00D16BCF" w:rsidRDefault="00D16BCF" w:rsidP="00D16BCF">
            <w:pPr>
              <w:pStyle w:val="a8"/>
              <w:jc w:val="center"/>
              <w:rPr>
                <w:sz w:val="21"/>
                <w:szCs w:val="21"/>
              </w:rPr>
            </w:pPr>
            <w:r w:rsidRPr="00D16BCF">
              <w:rPr>
                <w:rFonts w:hint="eastAsia"/>
                <w:sz w:val="21"/>
                <w:szCs w:val="21"/>
              </w:rPr>
              <w:t>GB/T2411-2008</w:t>
            </w:r>
          </w:p>
        </w:tc>
        <w:tc>
          <w:tcPr>
            <w:tcW w:w="3092" w:type="dxa"/>
            <w:vAlign w:val="center"/>
          </w:tcPr>
          <w:p w14:paraId="5EAC4265" w14:textId="77777777" w:rsidR="00D93041" w:rsidRPr="00D16BCF" w:rsidRDefault="00D16BCF" w:rsidP="00D16BCF">
            <w:pPr>
              <w:pStyle w:val="a8"/>
              <w:jc w:val="center"/>
              <w:rPr>
                <w:sz w:val="21"/>
                <w:szCs w:val="21"/>
              </w:rPr>
            </w:pPr>
            <w:r w:rsidRPr="00D16BCF">
              <w:rPr>
                <w:rFonts w:hint="eastAsia"/>
                <w:sz w:val="21"/>
                <w:szCs w:val="21"/>
              </w:rPr>
              <w:t>76-80</w:t>
            </w:r>
          </w:p>
        </w:tc>
      </w:tr>
      <w:tr w:rsidR="00D93041" w:rsidRPr="00D16BCF" w14:paraId="481CF944" w14:textId="77777777" w:rsidTr="00D16BCF">
        <w:trPr>
          <w:trHeight w:val="20"/>
        </w:trPr>
        <w:tc>
          <w:tcPr>
            <w:tcW w:w="2803" w:type="dxa"/>
            <w:vAlign w:val="center"/>
          </w:tcPr>
          <w:p w14:paraId="62FCAB04" w14:textId="77777777" w:rsidR="00D93041" w:rsidRPr="00D16BCF" w:rsidRDefault="00D16BCF" w:rsidP="00D16BCF">
            <w:pPr>
              <w:pStyle w:val="a8"/>
              <w:jc w:val="center"/>
              <w:rPr>
                <w:sz w:val="21"/>
                <w:szCs w:val="21"/>
              </w:rPr>
            </w:pPr>
            <w:r w:rsidRPr="00D16BCF">
              <w:rPr>
                <w:rFonts w:hint="eastAsia"/>
                <w:sz w:val="21"/>
                <w:szCs w:val="21"/>
              </w:rPr>
              <w:t>密度</w:t>
            </w:r>
            <w:r w:rsidRPr="00D16BCF">
              <w:rPr>
                <w:rFonts w:hint="eastAsia"/>
                <w:sz w:val="21"/>
                <w:szCs w:val="21"/>
              </w:rPr>
              <w:t> g/cm 3</w:t>
            </w:r>
          </w:p>
        </w:tc>
        <w:tc>
          <w:tcPr>
            <w:tcW w:w="2423" w:type="dxa"/>
            <w:vAlign w:val="center"/>
          </w:tcPr>
          <w:p w14:paraId="7DFA872F" w14:textId="77777777" w:rsidR="00D93041" w:rsidRPr="00D16BCF" w:rsidRDefault="00D16BCF" w:rsidP="00D16BCF">
            <w:pPr>
              <w:pStyle w:val="a8"/>
              <w:jc w:val="center"/>
              <w:rPr>
                <w:sz w:val="21"/>
                <w:szCs w:val="21"/>
              </w:rPr>
            </w:pPr>
            <w:r w:rsidRPr="00D16BCF">
              <w:rPr>
                <w:rFonts w:hint="eastAsia"/>
                <w:sz w:val="21"/>
                <w:szCs w:val="21"/>
              </w:rPr>
              <w:t>GB/T1033.1-2008</w:t>
            </w:r>
          </w:p>
        </w:tc>
        <w:tc>
          <w:tcPr>
            <w:tcW w:w="3092" w:type="dxa"/>
            <w:vAlign w:val="center"/>
          </w:tcPr>
          <w:p w14:paraId="4DDF7BF2" w14:textId="77777777" w:rsidR="00D93041" w:rsidRPr="00D16BCF" w:rsidRDefault="00D16BCF" w:rsidP="00D16BCF">
            <w:pPr>
              <w:pStyle w:val="a8"/>
              <w:jc w:val="center"/>
              <w:rPr>
                <w:sz w:val="21"/>
                <w:szCs w:val="21"/>
              </w:rPr>
            </w:pPr>
            <w:r w:rsidRPr="00D16BCF">
              <w:rPr>
                <w:rFonts w:hint="eastAsia"/>
                <w:sz w:val="21"/>
                <w:szCs w:val="21"/>
              </w:rPr>
              <w:t>1.1-1.4</w:t>
            </w:r>
          </w:p>
        </w:tc>
      </w:tr>
      <w:tr w:rsidR="00D93041" w:rsidRPr="00D16BCF" w14:paraId="33F94F01" w14:textId="77777777" w:rsidTr="00D16BCF">
        <w:trPr>
          <w:trHeight w:val="20"/>
        </w:trPr>
        <w:tc>
          <w:tcPr>
            <w:tcW w:w="2803" w:type="dxa"/>
            <w:vAlign w:val="center"/>
          </w:tcPr>
          <w:p w14:paraId="152743AA" w14:textId="77777777" w:rsidR="00D93041" w:rsidRPr="00D16BCF" w:rsidRDefault="00D16BCF" w:rsidP="00D16BCF">
            <w:pPr>
              <w:pStyle w:val="a8"/>
              <w:jc w:val="center"/>
              <w:rPr>
                <w:sz w:val="21"/>
                <w:szCs w:val="21"/>
              </w:rPr>
            </w:pPr>
            <w:r w:rsidRPr="00D16BCF">
              <w:rPr>
                <w:rFonts w:hint="eastAsia"/>
                <w:sz w:val="21"/>
                <w:szCs w:val="21"/>
              </w:rPr>
              <w:t>压缩强度</w:t>
            </w:r>
            <w:r w:rsidRPr="00D16BCF">
              <w:rPr>
                <w:rFonts w:hint="eastAsia"/>
                <w:sz w:val="21"/>
                <w:szCs w:val="21"/>
              </w:rPr>
              <w:t> </w:t>
            </w:r>
            <w:proofErr w:type="spellStart"/>
            <w:r w:rsidRPr="00D16BCF">
              <w:rPr>
                <w:rFonts w:hint="eastAsia"/>
                <w:sz w:val="21"/>
                <w:szCs w:val="21"/>
              </w:rPr>
              <w:t>Mpa</w:t>
            </w:r>
            <w:proofErr w:type="spellEnd"/>
          </w:p>
        </w:tc>
        <w:tc>
          <w:tcPr>
            <w:tcW w:w="2423" w:type="dxa"/>
            <w:vAlign w:val="center"/>
          </w:tcPr>
          <w:p w14:paraId="3D0F1F73" w14:textId="77777777" w:rsidR="00D93041" w:rsidRPr="00D16BCF" w:rsidRDefault="00D16BCF" w:rsidP="00D16BCF">
            <w:pPr>
              <w:pStyle w:val="a8"/>
              <w:jc w:val="center"/>
              <w:rPr>
                <w:sz w:val="21"/>
                <w:szCs w:val="21"/>
              </w:rPr>
            </w:pPr>
            <w:r w:rsidRPr="00D16BCF">
              <w:rPr>
                <w:rFonts w:hint="eastAsia"/>
                <w:sz w:val="21"/>
                <w:szCs w:val="21"/>
              </w:rPr>
              <w:t>GB/T1040.1-2012</w:t>
            </w:r>
          </w:p>
        </w:tc>
        <w:tc>
          <w:tcPr>
            <w:tcW w:w="3092" w:type="dxa"/>
            <w:vAlign w:val="center"/>
          </w:tcPr>
          <w:p w14:paraId="598B382F" w14:textId="77777777" w:rsidR="00D93041" w:rsidRPr="00D16BCF" w:rsidRDefault="00D16BCF" w:rsidP="00D16BCF">
            <w:pPr>
              <w:pStyle w:val="a8"/>
              <w:jc w:val="center"/>
              <w:rPr>
                <w:sz w:val="21"/>
                <w:szCs w:val="21"/>
              </w:rPr>
            </w:pPr>
            <w:r w:rsidRPr="00D16BCF">
              <w:rPr>
                <w:rFonts w:hint="eastAsia"/>
                <w:sz w:val="21"/>
                <w:szCs w:val="21"/>
              </w:rPr>
              <w:t>85-110</w:t>
            </w:r>
          </w:p>
        </w:tc>
      </w:tr>
      <w:tr w:rsidR="00D93041" w:rsidRPr="00D16BCF" w14:paraId="6B58F0FE" w14:textId="77777777" w:rsidTr="00D16BCF">
        <w:trPr>
          <w:trHeight w:val="20"/>
        </w:trPr>
        <w:tc>
          <w:tcPr>
            <w:tcW w:w="2803" w:type="dxa"/>
            <w:vAlign w:val="center"/>
          </w:tcPr>
          <w:p w14:paraId="4280AE87" w14:textId="77777777" w:rsidR="00D93041" w:rsidRPr="00D16BCF" w:rsidRDefault="00D16BCF" w:rsidP="00D16BCF">
            <w:pPr>
              <w:pStyle w:val="a8"/>
              <w:jc w:val="center"/>
              <w:rPr>
                <w:sz w:val="21"/>
                <w:szCs w:val="21"/>
              </w:rPr>
            </w:pPr>
            <w:r w:rsidRPr="00D16BCF">
              <w:rPr>
                <w:rFonts w:hint="eastAsia"/>
                <w:sz w:val="21"/>
                <w:szCs w:val="21"/>
              </w:rPr>
              <w:t>断裂伸长率</w:t>
            </w:r>
            <w:r w:rsidRPr="00D16BCF">
              <w:rPr>
                <w:rFonts w:hint="eastAsia"/>
                <w:sz w:val="21"/>
                <w:szCs w:val="21"/>
              </w:rPr>
              <w:t> %</w:t>
            </w:r>
          </w:p>
        </w:tc>
        <w:tc>
          <w:tcPr>
            <w:tcW w:w="2423" w:type="dxa"/>
            <w:vAlign w:val="center"/>
          </w:tcPr>
          <w:p w14:paraId="468042F1" w14:textId="77777777" w:rsidR="00D93041" w:rsidRPr="00D16BCF" w:rsidRDefault="00D16BCF" w:rsidP="00D16BCF">
            <w:pPr>
              <w:pStyle w:val="a8"/>
              <w:jc w:val="center"/>
              <w:rPr>
                <w:sz w:val="21"/>
                <w:szCs w:val="21"/>
              </w:rPr>
            </w:pPr>
            <w:r w:rsidRPr="00D16BCF">
              <w:rPr>
                <w:rFonts w:hint="eastAsia"/>
                <w:sz w:val="21"/>
                <w:szCs w:val="21"/>
              </w:rPr>
              <w:t>GB/T1040.1-2012</w:t>
            </w:r>
          </w:p>
        </w:tc>
        <w:tc>
          <w:tcPr>
            <w:tcW w:w="3092" w:type="dxa"/>
            <w:vAlign w:val="center"/>
          </w:tcPr>
          <w:p w14:paraId="23DB5630" w14:textId="77777777" w:rsidR="00D93041" w:rsidRPr="00D16BCF" w:rsidRDefault="00D16BCF" w:rsidP="00D16BCF">
            <w:pPr>
              <w:pStyle w:val="a8"/>
              <w:jc w:val="center"/>
              <w:rPr>
                <w:sz w:val="21"/>
                <w:szCs w:val="21"/>
              </w:rPr>
            </w:pPr>
            <w:r w:rsidRPr="00D16BCF">
              <w:rPr>
                <w:rFonts w:hint="eastAsia"/>
                <w:sz w:val="21"/>
                <w:szCs w:val="21"/>
              </w:rPr>
              <w:t>40-80</w:t>
            </w:r>
          </w:p>
        </w:tc>
      </w:tr>
      <w:tr w:rsidR="00D93041" w:rsidRPr="00D16BCF" w14:paraId="4038954D" w14:textId="77777777" w:rsidTr="00D16BCF">
        <w:trPr>
          <w:trHeight w:val="20"/>
        </w:trPr>
        <w:tc>
          <w:tcPr>
            <w:tcW w:w="2803" w:type="dxa"/>
            <w:vAlign w:val="center"/>
          </w:tcPr>
          <w:p w14:paraId="2E56ABDC" w14:textId="77777777" w:rsidR="00D93041" w:rsidRPr="00D16BCF" w:rsidRDefault="00D16BCF" w:rsidP="00D16BCF">
            <w:pPr>
              <w:pStyle w:val="a8"/>
              <w:jc w:val="center"/>
              <w:rPr>
                <w:sz w:val="21"/>
                <w:szCs w:val="21"/>
              </w:rPr>
            </w:pPr>
            <w:r w:rsidRPr="00D16BCF">
              <w:rPr>
                <w:rFonts w:hint="eastAsia"/>
                <w:sz w:val="21"/>
                <w:szCs w:val="21"/>
              </w:rPr>
              <w:t>冲击强度</w:t>
            </w:r>
            <w:r w:rsidRPr="00D16BCF">
              <w:rPr>
                <w:rFonts w:hint="eastAsia"/>
                <w:sz w:val="21"/>
                <w:szCs w:val="21"/>
              </w:rPr>
              <w:t> KJ/</w:t>
            </w:r>
            <w:r w:rsidRPr="00D16BCF">
              <w:rPr>
                <w:rFonts w:hint="eastAsia"/>
                <w:sz w:val="21"/>
                <w:szCs w:val="21"/>
              </w:rPr>
              <w:t>㎡</w:t>
            </w:r>
          </w:p>
        </w:tc>
        <w:tc>
          <w:tcPr>
            <w:tcW w:w="2423" w:type="dxa"/>
            <w:vAlign w:val="center"/>
          </w:tcPr>
          <w:p w14:paraId="3114327E" w14:textId="77777777" w:rsidR="00D93041" w:rsidRPr="00D16BCF" w:rsidRDefault="00D16BCF" w:rsidP="00D16BCF">
            <w:pPr>
              <w:pStyle w:val="a8"/>
              <w:jc w:val="center"/>
              <w:rPr>
                <w:sz w:val="21"/>
                <w:szCs w:val="21"/>
              </w:rPr>
            </w:pPr>
            <w:r w:rsidRPr="00D16BCF">
              <w:rPr>
                <w:rFonts w:hint="eastAsia"/>
                <w:sz w:val="21"/>
                <w:szCs w:val="21"/>
              </w:rPr>
              <w:t>GB/T1043.1-2008</w:t>
            </w:r>
          </w:p>
        </w:tc>
        <w:tc>
          <w:tcPr>
            <w:tcW w:w="3092" w:type="dxa"/>
            <w:vAlign w:val="center"/>
          </w:tcPr>
          <w:p w14:paraId="29836AA8" w14:textId="77777777" w:rsidR="00D93041" w:rsidRPr="00D16BCF" w:rsidRDefault="00D16BCF" w:rsidP="00D16BCF">
            <w:pPr>
              <w:pStyle w:val="a8"/>
              <w:jc w:val="center"/>
              <w:rPr>
                <w:sz w:val="21"/>
                <w:szCs w:val="21"/>
              </w:rPr>
            </w:pPr>
            <w:r w:rsidRPr="00D16BCF">
              <w:rPr>
                <w:rFonts w:hint="eastAsia"/>
                <w:sz w:val="21"/>
                <w:szCs w:val="21"/>
              </w:rPr>
              <w:t>12.0-17.0</w:t>
            </w:r>
          </w:p>
        </w:tc>
      </w:tr>
      <w:tr w:rsidR="00D93041" w:rsidRPr="00D16BCF" w14:paraId="0DBD792A" w14:textId="77777777" w:rsidTr="00D16BCF">
        <w:trPr>
          <w:trHeight w:val="20"/>
        </w:trPr>
        <w:tc>
          <w:tcPr>
            <w:tcW w:w="2803" w:type="dxa"/>
            <w:vAlign w:val="center"/>
          </w:tcPr>
          <w:p w14:paraId="31CD70D1" w14:textId="77777777" w:rsidR="00D93041" w:rsidRPr="00D16BCF" w:rsidRDefault="00D16BCF" w:rsidP="00D16BCF">
            <w:pPr>
              <w:pStyle w:val="a8"/>
              <w:jc w:val="center"/>
              <w:rPr>
                <w:color w:val="000000" w:themeColor="text1"/>
                <w:sz w:val="21"/>
                <w:szCs w:val="21"/>
              </w:rPr>
            </w:pPr>
            <w:r w:rsidRPr="00D16BCF">
              <w:rPr>
                <w:rFonts w:hint="eastAsia"/>
                <w:color w:val="000000" w:themeColor="text1"/>
                <w:sz w:val="21"/>
                <w:szCs w:val="21"/>
              </w:rPr>
              <w:t>摩擦系数</w:t>
            </w:r>
          </w:p>
        </w:tc>
        <w:tc>
          <w:tcPr>
            <w:tcW w:w="2423" w:type="dxa"/>
            <w:vAlign w:val="center"/>
          </w:tcPr>
          <w:p w14:paraId="0490655D" w14:textId="2EA1AA4E" w:rsidR="00D93041" w:rsidRPr="00D16BCF" w:rsidRDefault="00D16BCF" w:rsidP="00D16BCF">
            <w:pPr>
              <w:pStyle w:val="a8"/>
              <w:jc w:val="center"/>
              <w:rPr>
                <w:sz w:val="21"/>
                <w:szCs w:val="21"/>
              </w:rPr>
            </w:pPr>
            <w:r w:rsidRPr="00D16BCF">
              <w:rPr>
                <w:rFonts w:hint="eastAsia"/>
                <w:sz w:val="21"/>
                <w:szCs w:val="21"/>
              </w:rPr>
              <w:t>GB/T3960-</w:t>
            </w:r>
            <w:r w:rsidRPr="00D16BCF">
              <w:rPr>
                <w:rFonts w:hint="eastAsia"/>
                <w:sz w:val="21"/>
                <w:szCs w:val="21"/>
              </w:rPr>
              <w:t>2008</w:t>
            </w:r>
          </w:p>
        </w:tc>
        <w:tc>
          <w:tcPr>
            <w:tcW w:w="3092" w:type="dxa"/>
            <w:vAlign w:val="center"/>
          </w:tcPr>
          <w:p w14:paraId="7869711B" w14:textId="77777777" w:rsidR="00D93041" w:rsidRPr="00D16BCF" w:rsidRDefault="00D16BCF" w:rsidP="00D16BCF">
            <w:pPr>
              <w:pStyle w:val="a8"/>
              <w:jc w:val="center"/>
              <w:rPr>
                <w:sz w:val="21"/>
                <w:szCs w:val="21"/>
              </w:rPr>
            </w:pPr>
            <w:r w:rsidRPr="00D16BCF">
              <w:rPr>
                <w:rFonts w:hint="eastAsia"/>
                <w:sz w:val="21"/>
                <w:szCs w:val="21"/>
              </w:rPr>
              <w:t>0.20-0.10</w:t>
            </w:r>
          </w:p>
        </w:tc>
      </w:tr>
      <w:tr w:rsidR="00D93041" w:rsidRPr="00D16BCF" w14:paraId="777FF318" w14:textId="77777777" w:rsidTr="00D16BCF">
        <w:trPr>
          <w:trHeight w:val="20"/>
        </w:trPr>
        <w:tc>
          <w:tcPr>
            <w:tcW w:w="2803" w:type="dxa"/>
            <w:vAlign w:val="center"/>
          </w:tcPr>
          <w:p w14:paraId="316CB7B5" w14:textId="77777777" w:rsidR="00D93041" w:rsidRPr="00D16BCF" w:rsidRDefault="00D16BCF" w:rsidP="00D16BCF">
            <w:pPr>
              <w:pStyle w:val="a8"/>
              <w:jc w:val="center"/>
              <w:rPr>
                <w:color w:val="000000" w:themeColor="text1"/>
                <w:sz w:val="21"/>
                <w:szCs w:val="21"/>
              </w:rPr>
            </w:pPr>
            <w:proofErr w:type="spellStart"/>
            <w:r w:rsidRPr="00D16BCF">
              <w:rPr>
                <w:rFonts w:cs="Calibri"/>
                <w:color w:val="000000" w:themeColor="text1"/>
                <w:sz w:val="21"/>
                <w:szCs w:val="21"/>
              </w:rPr>
              <w:t>Ec</w:t>
            </w:r>
            <w:proofErr w:type="spellEnd"/>
            <w:r w:rsidRPr="00D16BCF">
              <w:rPr>
                <w:rFonts w:hint="eastAsia"/>
                <w:color w:val="000000" w:themeColor="text1"/>
                <w:sz w:val="21"/>
                <w:szCs w:val="21"/>
              </w:rPr>
              <w:t>弹性模量</w:t>
            </w:r>
            <w:proofErr w:type="spellStart"/>
            <w:r w:rsidRPr="00D16BCF">
              <w:rPr>
                <w:rFonts w:hint="eastAsia"/>
                <w:color w:val="000000" w:themeColor="text1"/>
                <w:sz w:val="21"/>
                <w:szCs w:val="21"/>
              </w:rPr>
              <w:t>Mpa</w:t>
            </w:r>
            <w:proofErr w:type="spellEnd"/>
          </w:p>
        </w:tc>
        <w:tc>
          <w:tcPr>
            <w:tcW w:w="2423" w:type="dxa"/>
            <w:vAlign w:val="center"/>
          </w:tcPr>
          <w:p w14:paraId="6CEFAA12" w14:textId="77777777" w:rsidR="00D93041" w:rsidRPr="00D16BCF" w:rsidRDefault="00D16BCF" w:rsidP="00D16BCF">
            <w:pPr>
              <w:pStyle w:val="a8"/>
              <w:jc w:val="center"/>
              <w:rPr>
                <w:sz w:val="21"/>
                <w:szCs w:val="21"/>
              </w:rPr>
            </w:pPr>
            <w:r w:rsidRPr="00D16BCF">
              <w:rPr>
                <w:rFonts w:hint="eastAsia"/>
                <w:sz w:val="21"/>
                <w:szCs w:val="21"/>
              </w:rPr>
              <w:t>GB/T1040.1-2012</w:t>
            </w:r>
          </w:p>
        </w:tc>
        <w:tc>
          <w:tcPr>
            <w:tcW w:w="3092" w:type="dxa"/>
            <w:vAlign w:val="center"/>
          </w:tcPr>
          <w:p w14:paraId="6DA8711B" w14:textId="77777777" w:rsidR="00D93041" w:rsidRPr="00D16BCF" w:rsidRDefault="00D16BCF" w:rsidP="00D16BCF">
            <w:pPr>
              <w:pStyle w:val="a8"/>
              <w:jc w:val="center"/>
              <w:rPr>
                <w:sz w:val="21"/>
                <w:szCs w:val="21"/>
              </w:rPr>
            </w:pPr>
            <w:r w:rsidRPr="00D16BCF">
              <w:rPr>
                <w:rFonts w:hint="eastAsia"/>
                <w:sz w:val="21"/>
                <w:szCs w:val="21"/>
              </w:rPr>
              <w:t>1800-2600</w:t>
            </w:r>
          </w:p>
        </w:tc>
      </w:tr>
      <w:tr w:rsidR="00D93041" w:rsidRPr="00D16BCF" w14:paraId="505D2AA3" w14:textId="77777777" w:rsidTr="00D16BCF">
        <w:trPr>
          <w:trHeight w:val="20"/>
        </w:trPr>
        <w:tc>
          <w:tcPr>
            <w:tcW w:w="2803" w:type="dxa"/>
            <w:vAlign w:val="center"/>
          </w:tcPr>
          <w:p w14:paraId="6AAAAD70" w14:textId="77777777" w:rsidR="00D93041" w:rsidRPr="00D16BCF" w:rsidRDefault="00D16BCF" w:rsidP="00D16BCF">
            <w:pPr>
              <w:pStyle w:val="a8"/>
              <w:jc w:val="center"/>
              <w:rPr>
                <w:color w:val="000000" w:themeColor="text1"/>
                <w:sz w:val="21"/>
                <w:szCs w:val="21"/>
              </w:rPr>
            </w:pPr>
            <w:r w:rsidRPr="00D16BCF">
              <w:rPr>
                <w:rFonts w:hint="eastAsia"/>
                <w:color w:val="000000" w:themeColor="text1"/>
                <w:sz w:val="21"/>
                <w:szCs w:val="21"/>
              </w:rPr>
              <w:lastRenderedPageBreak/>
              <w:t>抗拉强度</w:t>
            </w:r>
            <w:proofErr w:type="spellStart"/>
            <w:r w:rsidRPr="00D16BCF">
              <w:rPr>
                <w:rFonts w:hint="eastAsia"/>
                <w:color w:val="000000" w:themeColor="text1"/>
                <w:sz w:val="21"/>
                <w:szCs w:val="21"/>
              </w:rPr>
              <w:t>Mpa</w:t>
            </w:r>
            <w:proofErr w:type="spellEnd"/>
          </w:p>
        </w:tc>
        <w:tc>
          <w:tcPr>
            <w:tcW w:w="2423" w:type="dxa"/>
            <w:vAlign w:val="center"/>
          </w:tcPr>
          <w:p w14:paraId="6C1EF512" w14:textId="77777777" w:rsidR="00D93041" w:rsidRPr="00D16BCF" w:rsidRDefault="00D16BCF" w:rsidP="00D16BCF">
            <w:pPr>
              <w:pStyle w:val="a8"/>
              <w:jc w:val="center"/>
              <w:rPr>
                <w:sz w:val="21"/>
                <w:szCs w:val="21"/>
              </w:rPr>
            </w:pPr>
            <w:r w:rsidRPr="00D16BCF">
              <w:rPr>
                <w:rFonts w:hint="eastAsia"/>
                <w:sz w:val="21"/>
                <w:szCs w:val="21"/>
              </w:rPr>
              <w:t>GB/T1040.1-2012</w:t>
            </w:r>
          </w:p>
        </w:tc>
        <w:tc>
          <w:tcPr>
            <w:tcW w:w="3092" w:type="dxa"/>
            <w:vAlign w:val="center"/>
          </w:tcPr>
          <w:p w14:paraId="212E716F" w14:textId="77777777" w:rsidR="00D93041" w:rsidRPr="00D16BCF" w:rsidRDefault="00D16BCF" w:rsidP="00D16BCF">
            <w:pPr>
              <w:pStyle w:val="a8"/>
              <w:jc w:val="center"/>
              <w:rPr>
                <w:sz w:val="21"/>
                <w:szCs w:val="21"/>
              </w:rPr>
            </w:pPr>
            <w:r w:rsidRPr="00D16BCF">
              <w:rPr>
                <w:rFonts w:hint="eastAsia"/>
                <w:sz w:val="21"/>
                <w:szCs w:val="21"/>
              </w:rPr>
              <w:t>75.0-85.0</w:t>
            </w:r>
          </w:p>
        </w:tc>
      </w:tr>
      <w:tr w:rsidR="00D93041" w:rsidRPr="00D16BCF" w14:paraId="44787EC4" w14:textId="77777777" w:rsidTr="00D16BCF">
        <w:trPr>
          <w:trHeight w:val="20"/>
        </w:trPr>
        <w:tc>
          <w:tcPr>
            <w:tcW w:w="2803" w:type="dxa"/>
            <w:vAlign w:val="center"/>
          </w:tcPr>
          <w:p w14:paraId="5F073FF7" w14:textId="77777777" w:rsidR="00D93041" w:rsidRPr="00D16BCF" w:rsidRDefault="00D16BCF" w:rsidP="00D16BCF">
            <w:pPr>
              <w:pStyle w:val="a8"/>
              <w:jc w:val="center"/>
              <w:rPr>
                <w:color w:val="000000" w:themeColor="text1"/>
                <w:sz w:val="21"/>
                <w:szCs w:val="21"/>
              </w:rPr>
            </w:pPr>
            <w:r w:rsidRPr="00D16BCF">
              <w:rPr>
                <w:rFonts w:hint="eastAsia"/>
                <w:color w:val="000000" w:themeColor="text1"/>
                <w:sz w:val="21"/>
                <w:szCs w:val="21"/>
              </w:rPr>
              <w:t>耐候测试</w:t>
            </w:r>
          </w:p>
        </w:tc>
        <w:tc>
          <w:tcPr>
            <w:tcW w:w="2423" w:type="dxa"/>
            <w:vAlign w:val="center"/>
          </w:tcPr>
          <w:p w14:paraId="2DA8F8EE" w14:textId="77777777" w:rsidR="00D93041" w:rsidRPr="00D16BCF" w:rsidRDefault="00D16BCF" w:rsidP="00D16BCF">
            <w:pPr>
              <w:pStyle w:val="a8"/>
              <w:jc w:val="center"/>
              <w:rPr>
                <w:sz w:val="21"/>
                <w:szCs w:val="21"/>
              </w:rPr>
            </w:pPr>
            <w:r w:rsidRPr="00D16BCF">
              <w:rPr>
                <w:rFonts w:hint="eastAsia"/>
                <w:sz w:val="21"/>
                <w:szCs w:val="21"/>
              </w:rPr>
              <w:t>GB/T16422.3-2022</w:t>
            </w:r>
          </w:p>
        </w:tc>
        <w:tc>
          <w:tcPr>
            <w:tcW w:w="3092" w:type="dxa"/>
            <w:vAlign w:val="center"/>
          </w:tcPr>
          <w:p w14:paraId="4852F577" w14:textId="77777777" w:rsidR="00D93041" w:rsidRPr="00D16BCF" w:rsidRDefault="00D16BCF" w:rsidP="00D16BCF">
            <w:pPr>
              <w:pStyle w:val="a8"/>
              <w:jc w:val="center"/>
              <w:rPr>
                <w:sz w:val="21"/>
                <w:szCs w:val="21"/>
              </w:rPr>
            </w:pPr>
            <w:r w:rsidRPr="00D16BCF">
              <w:rPr>
                <w:rFonts w:hint="eastAsia"/>
                <w:sz w:val="21"/>
                <w:szCs w:val="21"/>
              </w:rPr>
              <w:t>颜色无明显变化</w:t>
            </w:r>
            <w:r w:rsidRPr="00D16BCF">
              <w:rPr>
                <w:rFonts w:cs="Calibri"/>
                <w:sz w:val="21"/>
                <w:szCs w:val="21"/>
              </w:rPr>
              <w:t>，</w:t>
            </w:r>
            <w:r w:rsidRPr="00D16BCF">
              <w:rPr>
                <w:rFonts w:hint="eastAsia"/>
                <w:sz w:val="21"/>
                <w:szCs w:val="21"/>
              </w:rPr>
              <w:t>表面无裂纹</w:t>
            </w:r>
          </w:p>
        </w:tc>
      </w:tr>
    </w:tbl>
    <w:p w14:paraId="695D0131" w14:textId="77777777" w:rsidR="00D93041" w:rsidRDefault="00D93041">
      <w:pPr>
        <w:spacing w:line="360" w:lineRule="auto"/>
        <w:rPr>
          <w:rFonts w:ascii="宋体" w:eastAsia="宋体" w:hAnsi="宋体"/>
          <w:iCs/>
          <w:sz w:val="24"/>
        </w:rPr>
      </w:pPr>
    </w:p>
    <w:p w14:paraId="7E619DD3" w14:textId="77777777" w:rsidR="00D93041" w:rsidRDefault="00D16BCF">
      <w:pPr>
        <w:spacing w:line="360" w:lineRule="auto"/>
        <w:jc w:val="left"/>
        <w:rPr>
          <w:rFonts w:hAnsiTheme="minorEastAsia"/>
          <w:b/>
          <w:sz w:val="24"/>
        </w:rPr>
      </w:pPr>
      <w:r>
        <w:rPr>
          <w:rFonts w:hAnsiTheme="minorEastAsia" w:hint="eastAsia"/>
          <w:b/>
          <w:sz w:val="24"/>
        </w:rPr>
        <w:t>三、主要试验（验证）情况分析</w:t>
      </w:r>
    </w:p>
    <w:p w14:paraId="2E32C8DC" w14:textId="77777777" w:rsidR="00D93041" w:rsidRDefault="00D16BCF">
      <w:pPr>
        <w:spacing w:line="360" w:lineRule="auto"/>
        <w:ind w:firstLineChars="200" w:firstLine="480"/>
        <w:rPr>
          <w:rFonts w:ascii="宋体" w:eastAsia="宋体" w:hAnsi="宋体"/>
          <w:iCs/>
          <w:sz w:val="24"/>
        </w:rPr>
      </w:pPr>
      <w:r>
        <w:rPr>
          <w:rFonts w:ascii="宋体" w:eastAsia="宋体" w:hAnsi="宋体" w:hint="eastAsia"/>
          <w:iCs/>
          <w:sz w:val="24"/>
        </w:rPr>
        <w:t>本标准在编制过程中，对规定的通用技术要求和评价（体系）指标要求都进行了试验验证。</w:t>
      </w:r>
    </w:p>
    <w:p w14:paraId="65F9618B" w14:textId="77777777" w:rsidR="00D93041" w:rsidRDefault="00D16BCF">
      <w:pPr>
        <w:spacing w:line="360" w:lineRule="auto"/>
        <w:jc w:val="left"/>
        <w:rPr>
          <w:rFonts w:hAnsiTheme="minorEastAsia"/>
          <w:b/>
          <w:sz w:val="24"/>
        </w:rPr>
      </w:pPr>
      <w:r>
        <w:rPr>
          <w:rFonts w:hAnsiTheme="minorEastAsia" w:hint="eastAsia"/>
          <w:b/>
          <w:sz w:val="24"/>
        </w:rPr>
        <w:t>四、标准中有关专利情况说明</w:t>
      </w:r>
    </w:p>
    <w:p w14:paraId="481D6A46" w14:textId="77777777" w:rsidR="00D93041" w:rsidRDefault="00D16BCF">
      <w:pPr>
        <w:spacing w:line="360" w:lineRule="auto"/>
        <w:ind w:firstLineChars="200" w:firstLine="480"/>
        <w:rPr>
          <w:rFonts w:ascii="宋体" w:eastAsia="宋体" w:hAnsi="宋体"/>
          <w:iCs/>
          <w:sz w:val="24"/>
        </w:rPr>
      </w:pPr>
      <w:r>
        <w:rPr>
          <w:rFonts w:ascii="宋体" w:eastAsia="宋体" w:hAnsi="宋体" w:hint="eastAsia"/>
          <w:iCs/>
          <w:sz w:val="24"/>
        </w:rPr>
        <w:t>无。</w:t>
      </w:r>
    </w:p>
    <w:p w14:paraId="3BD09CEC" w14:textId="77777777" w:rsidR="00D93041" w:rsidRDefault="00D16BCF">
      <w:pPr>
        <w:spacing w:line="360" w:lineRule="auto"/>
        <w:jc w:val="left"/>
        <w:rPr>
          <w:rFonts w:hAnsiTheme="minorEastAsia"/>
          <w:b/>
          <w:sz w:val="24"/>
        </w:rPr>
      </w:pPr>
      <w:r>
        <w:rPr>
          <w:rFonts w:hAnsiTheme="minorEastAsia" w:hint="eastAsia"/>
          <w:b/>
          <w:sz w:val="24"/>
        </w:rPr>
        <w:t>五、预期达到的经济社会效益</w:t>
      </w:r>
    </w:p>
    <w:p w14:paraId="4C584486" w14:textId="47DACFD6" w:rsidR="00D93041" w:rsidRDefault="00D16BCF">
      <w:pPr>
        <w:spacing w:line="360" w:lineRule="auto"/>
        <w:ind w:firstLineChars="200" w:firstLine="480"/>
        <w:rPr>
          <w:rFonts w:ascii="宋体" w:eastAsia="宋体" w:hAnsi="宋体"/>
          <w:iCs/>
          <w:sz w:val="24"/>
        </w:rPr>
      </w:pPr>
      <w:r w:rsidRPr="00D16BCF">
        <w:rPr>
          <w:rFonts w:ascii="宋体" w:eastAsia="宋体" w:hAnsi="宋体" w:hint="eastAsia"/>
          <w:iCs/>
          <w:sz w:val="24"/>
        </w:rPr>
        <w:t>随着</w:t>
      </w:r>
      <w:r w:rsidRPr="00D16BCF">
        <w:rPr>
          <w:rFonts w:ascii="宋体" w:eastAsia="宋体" w:hAnsi="宋体" w:hint="eastAsia"/>
          <w:iCs/>
          <w:sz w:val="24"/>
        </w:rPr>
        <w:t>SOLAS II-I Reg. 3-8</w:t>
      </w:r>
      <w:r w:rsidRPr="00D16BCF">
        <w:rPr>
          <w:rFonts w:ascii="宋体" w:eastAsia="宋体" w:hAnsi="宋体" w:hint="eastAsia"/>
          <w:iCs/>
          <w:sz w:val="24"/>
        </w:rPr>
        <w:t>“拖曳和湖泊系统”由海事安全委员会</w:t>
      </w:r>
      <w:r w:rsidRPr="00D16BCF">
        <w:rPr>
          <w:rFonts w:ascii="宋体" w:eastAsia="宋体" w:hAnsi="宋体" w:hint="eastAsia"/>
          <w:iCs/>
          <w:sz w:val="24"/>
        </w:rPr>
        <w:t>MSC.102</w:t>
      </w:r>
      <w:r w:rsidRPr="00D16BCF">
        <w:rPr>
          <w:rFonts w:ascii="宋体" w:eastAsia="宋体" w:hAnsi="宋体" w:hint="eastAsia"/>
          <w:iCs/>
          <w:sz w:val="24"/>
        </w:rPr>
        <w:t>于</w:t>
      </w:r>
      <w:r w:rsidRPr="00D16BCF">
        <w:rPr>
          <w:rFonts w:ascii="宋体" w:eastAsia="宋体" w:hAnsi="宋体" w:hint="eastAsia"/>
          <w:iCs/>
          <w:sz w:val="24"/>
        </w:rPr>
        <w:t>2020</w:t>
      </w:r>
      <w:r w:rsidRPr="00D16BCF">
        <w:rPr>
          <w:rFonts w:ascii="宋体" w:eastAsia="宋体" w:hAnsi="宋体" w:hint="eastAsia"/>
          <w:iCs/>
          <w:sz w:val="24"/>
        </w:rPr>
        <w:t>年修订，并于</w:t>
      </w:r>
      <w:r w:rsidRPr="00D16BCF">
        <w:rPr>
          <w:rFonts w:ascii="宋体" w:eastAsia="宋体" w:hAnsi="宋体" w:hint="eastAsia"/>
          <w:iCs/>
          <w:sz w:val="24"/>
        </w:rPr>
        <w:t>2024</w:t>
      </w:r>
      <w:r w:rsidRPr="00D16BCF">
        <w:rPr>
          <w:rFonts w:ascii="宋体" w:eastAsia="宋体" w:hAnsi="宋体" w:hint="eastAsia"/>
          <w:iCs/>
          <w:sz w:val="24"/>
        </w:rPr>
        <w:t>年</w:t>
      </w:r>
      <w:r w:rsidRPr="00D16BCF">
        <w:rPr>
          <w:rFonts w:ascii="宋体" w:eastAsia="宋体" w:hAnsi="宋体" w:hint="eastAsia"/>
          <w:iCs/>
          <w:sz w:val="24"/>
        </w:rPr>
        <w:t>1</w:t>
      </w:r>
      <w:r w:rsidRPr="00D16BCF">
        <w:rPr>
          <w:rFonts w:ascii="宋体" w:eastAsia="宋体" w:hAnsi="宋体" w:hint="eastAsia"/>
          <w:iCs/>
          <w:sz w:val="24"/>
        </w:rPr>
        <w:t>月</w:t>
      </w:r>
      <w:r w:rsidRPr="00D16BCF">
        <w:rPr>
          <w:rFonts w:ascii="宋体" w:eastAsia="宋体" w:hAnsi="宋体" w:hint="eastAsia"/>
          <w:iCs/>
          <w:sz w:val="24"/>
        </w:rPr>
        <w:t>1</w:t>
      </w:r>
      <w:r w:rsidRPr="00D16BCF">
        <w:rPr>
          <w:rFonts w:ascii="宋体" w:eastAsia="宋体" w:hAnsi="宋体" w:hint="eastAsia"/>
          <w:iCs/>
          <w:sz w:val="24"/>
        </w:rPr>
        <w:t>日生效，通过了相关准则。其中包括系泊安排的设计以及为安全系泊选择适当的系泊设备和配件；系泊设备（包括缆绳）的检查和维护；关于船上拖曳和系泊设备的修订指南。安全系泊指南的其中一部分特别强调了在承载位置对系泊</w:t>
      </w:r>
      <w:proofErr w:type="gramStart"/>
      <w:r w:rsidRPr="00D16BCF">
        <w:rPr>
          <w:rFonts w:ascii="宋体" w:eastAsia="宋体" w:hAnsi="宋体" w:hint="eastAsia"/>
          <w:iCs/>
          <w:sz w:val="24"/>
        </w:rPr>
        <w:t>缆</w:t>
      </w:r>
      <w:proofErr w:type="gramEnd"/>
      <w:r w:rsidRPr="00D16BCF">
        <w:rPr>
          <w:rFonts w:ascii="宋体" w:eastAsia="宋体" w:hAnsi="宋体" w:hint="eastAsia"/>
          <w:iCs/>
          <w:sz w:val="24"/>
        </w:rPr>
        <w:t>进行磨损保护的必要性。标准发布生效后</w:t>
      </w:r>
      <w:proofErr w:type="gramStart"/>
      <w:r w:rsidRPr="00D16BCF">
        <w:rPr>
          <w:rFonts w:ascii="宋体" w:eastAsia="宋体" w:hAnsi="宋体" w:hint="eastAsia"/>
          <w:iCs/>
          <w:sz w:val="24"/>
        </w:rPr>
        <w:t>后</w:t>
      </w:r>
      <w:proofErr w:type="gramEnd"/>
      <w:r w:rsidRPr="00D16BCF">
        <w:rPr>
          <w:rFonts w:ascii="宋体" w:eastAsia="宋体" w:hAnsi="宋体" w:hint="eastAsia"/>
          <w:iCs/>
          <w:sz w:val="24"/>
        </w:rPr>
        <w:t>，预计每年可为国内外船东提供</w:t>
      </w:r>
      <w:r w:rsidRPr="00D16BCF">
        <w:rPr>
          <w:rFonts w:ascii="宋体" w:eastAsia="宋体" w:hAnsi="宋体" w:hint="eastAsia"/>
          <w:iCs/>
          <w:sz w:val="24"/>
        </w:rPr>
        <w:t>500-800</w:t>
      </w:r>
      <w:r w:rsidRPr="00D16BCF">
        <w:rPr>
          <w:rFonts w:ascii="宋体" w:eastAsia="宋体" w:hAnsi="宋体" w:hint="eastAsia"/>
          <w:iCs/>
          <w:sz w:val="24"/>
        </w:rPr>
        <w:t>套左右产量，预计效益</w:t>
      </w:r>
      <w:r w:rsidRPr="00D16BCF">
        <w:rPr>
          <w:rFonts w:ascii="宋体" w:eastAsia="宋体" w:hAnsi="宋体" w:hint="eastAsia"/>
          <w:iCs/>
          <w:sz w:val="24"/>
        </w:rPr>
        <w:t>1.5-2</w:t>
      </w:r>
      <w:r>
        <w:rPr>
          <w:rFonts w:ascii="宋体" w:eastAsia="宋体" w:hAnsi="宋体" w:hint="eastAsia"/>
          <w:iCs/>
          <w:sz w:val="24"/>
        </w:rPr>
        <w:t>个亿左右。</w:t>
      </w:r>
    </w:p>
    <w:p w14:paraId="76F41B9E" w14:textId="77777777" w:rsidR="00D93041" w:rsidRDefault="00D16BCF">
      <w:pPr>
        <w:spacing w:line="360" w:lineRule="auto"/>
        <w:jc w:val="left"/>
        <w:rPr>
          <w:rFonts w:hAnsiTheme="minorEastAsia"/>
          <w:b/>
          <w:sz w:val="24"/>
        </w:rPr>
      </w:pPr>
      <w:r>
        <w:rPr>
          <w:rFonts w:hAnsiTheme="minorEastAsia" w:hint="eastAsia"/>
          <w:b/>
          <w:sz w:val="24"/>
        </w:rPr>
        <w:t>六、采用国际标准和国外先进标准情况</w:t>
      </w:r>
    </w:p>
    <w:p w14:paraId="4F70781A" w14:textId="77777777" w:rsidR="00D93041" w:rsidRDefault="00D16BCF">
      <w:pPr>
        <w:spacing w:line="360" w:lineRule="auto"/>
        <w:ind w:firstLineChars="200" w:firstLine="480"/>
        <w:rPr>
          <w:rFonts w:ascii="宋体" w:eastAsia="宋体" w:hAnsi="宋体"/>
          <w:iCs/>
          <w:sz w:val="24"/>
        </w:rPr>
      </w:pPr>
      <w:r>
        <w:rPr>
          <w:rFonts w:ascii="宋体" w:eastAsia="宋体" w:hAnsi="宋体" w:hint="eastAsia"/>
          <w:iCs/>
          <w:sz w:val="24"/>
        </w:rPr>
        <w:t>无。</w:t>
      </w:r>
    </w:p>
    <w:p w14:paraId="585F0EAB" w14:textId="77777777" w:rsidR="00D93041" w:rsidRDefault="00D16BCF">
      <w:pPr>
        <w:spacing w:line="360" w:lineRule="auto"/>
        <w:jc w:val="left"/>
        <w:rPr>
          <w:rFonts w:hAnsiTheme="minorEastAsia"/>
          <w:b/>
          <w:sz w:val="24"/>
        </w:rPr>
      </w:pPr>
      <w:r>
        <w:rPr>
          <w:rFonts w:hAnsiTheme="minorEastAsia" w:hint="eastAsia"/>
          <w:b/>
          <w:sz w:val="24"/>
        </w:rPr>
        <w:t>重</w:t>
      </w:r>
      <w:r>
        <w:rPr>
          <w:rFonts w:hAnsiTheme="minorEastAsia" w:hint="eastAsia"/>
          <w:b/>
          <w:sz w:val="24"/>
        </w:rPr>
        <w:t>大分歧意见的处理经过和依据</w:t>
      </w:r>
    </w:p>
    <w:p w14:paraId="285684DE" w14:textId="77777777" w:rsidR="00D93041" w:rsidRDefault="00D16BCF">
      <w:pPr>
        <w:spacing w:line="360" w:lineRule="auto"/>
        <w:ind w:firstLineChars="200" w:firstLine="480"/>
        <w:rPr>
          <w:rFonts w:ascii="宋体" w:eastAsia="宋体" w:hAnsi="宋体"/>
          <w:iCs/>
          <w:sz w:val="24"/>
        </w:rPr>
      </w:pPr>
      <w:r>
        <w:rPr>
          <w:rFonts w:ascii="宋体" w:eastAsia="宋体" w:hAnsi="宋体" w:hint="eastAsia"/>
          <w:iCs/>
          <w:sz w:val="24"/>
        </w:rPr>
        <w:t>本标准无重大分歧意见。</w:t>
      </w:r>
    </w:p>
    <w:p w14:paraId="059B3E9A" w14:textId="77777777" w:rsidR="00D93041" w:rsidRDefault="00D16BCF">
      <w:pPr>
        <w:spacing w:line="360" w:lineRule="auto"/>
        <w:jc w:val="left"/>
        <w:rPr>
          <w:rFonts w:hAnsiTheme="minorEastAsia"/>
          <w:b/>
          <w:sz w:val="24"/>
        </w:rPr>
      </w:pPr>
      <w:r>
        <w:rPr>
          <w:rFonts w:hAnsiTheme="minorEastAsia" w:hint="eastAsia"/>
          <w:b/>
          <w:sz w:val="24"/>
        </w:rPr>
        <w:t>七、贯彻学会标准的要求和措施建议</w:t>
      </w:r>
    </w:p>
    <w:p w14:paraId="03EA283A" w14:textId="77777777" w:rsidR="00D93041" w:rsidRDefault="00D16BCF">
      <w:pPr>
        <w:spacing w:line="360" w:lineRule="auto"/>
        <w:ind w:firstLineChars="200" w:firstLine="480"/>
        <w:rPr>
          <w:rFonts w:ascii="宋体" w:eastAsia="宋体" w:hAnsi="宋体"/>
          <w:iCs/>
          <w:sz w:val="24"/>
        </w:rPr>
      </w:pPr>
      <w:r>
        <w:rPr>
          <w:rFonts w:ascii="宋体" w:eastAsia="宋体" w:hAnsi="宋体" w:hint="eastAsia"/>
          <w:iCs/>
          <w:sz w:val="24"/>
        </w:rPr>
        <w:t>建议本标准发布</w:t>
      </w:r>
      <w:r>
        <w:rPr>
          <w:rFonts w:ascii="宋体" w:eastAsia="宋体" w:hAnsi="宋体" w:hint="eastAsia"/>
          <w:iCs/>
          <w:sz w:val="24"/>
        </w:rPr>
        <w:t>3</w:t>
      </w:r>
      <w:r>
        <w:rPr>
          <w:rFonts w:ascii="宋体" w:eastAsia="宋体" w:hAnsi="宋体" w:hint="eastAsia"/>
          <w:iCs/>
          <w:sz w:val="24"/>
        </w:rPr>
        <w:t>个月后正式实施，标准实施后，标准起草单位与标准使用单位保持沟通，对于标准中存在的问题及时研究，保证标准的准确实施。</w:t>
      </w:r>
    </w:p>
    <w:p w14:paraId="7079168C" w14:textId="77777777" w:rsidR="00D93041" w:rsidRDefault="00D16BCF">
      <w:pPr>
        <w:spacing w:line="360" w:lineRule="auto"/>
        <w:jc w:val="left"/>
        <w:rPr>
          <w:rFonts w:hAnsiTheme="minorEastAsia"/>
          <w:b/>
          <w:sz w:val="24"/>
        </w:rPr>
      </w:pPr>
      <w:r>
        <w:rPr>
          <w:rFonts w:hAnsiTheme="minorEastAsia" w:hint="eastAsia"/>
          <w:b/>
          <w:sz w:val="24"/>
        </w:rPr>
        <w:t>八、其它应予说明的事项</w:t>
      </w:r>
    </w:p>
    <w:p w14:paraId="7133F814" w14:textId="77777777" w:rsidR="00D93041" w:rsidRDefault="00D16BCF">
      <w:pPr>
        <w:spacing w:line="360" w:lineRule="auto"/>
        <w:ind w:firstLineChars="200" w:firstLine="480"/>
        <w:rPr>
          <w:rFonts w:ascii="宋体" w:eastAsia="宋体" w:hAnsi="宋体"/>
          <w:iCs/>
          <w:sz w:val="24"/>
        </w:rPr>
      </w:pPr>
      <w:r>
        <w:rPr>
          <w:rFonts w:ascii="宋体" w:eastAsia="宋体" w:hAnsi="宋体"/>
          <w:iCs/>
          <w:sz w:val="24"/>
        </w:rPr>
        <w:t>无</w:t>
      </w:r>
      <w:r>
        <w:rPr>
          <w:rFonts w:ascii="宋体" w:eastAsia="宋体" w:hAnsi="宋体" w:hint="eastAsia"/>
          <w:iCs/>
          <w:sz w:val="24"/>
        </w:rPr>
        <w:t>。</w:t>
      </w:r>
    </w:p>
    <w:p w14:paraId="5A4F9B3E" w14:textId="77777777" w:rsidR="00D93041" w:rsidRDefault="00D93041">
      <w:pPr>
        <w:spacing w:line="360" w:lineRule="auto"/>
        <w:ind w:firstLineChars="200" w:firstLine="480"/>
        <w:rPr>
          <w:rFonts w:ascii="宋体" w:eastAsia="宋体" w:hAnsi="宋体"/>
          <w:iCs/>
          <w:sz w:val="24"/>
        </w:rPr>
        <w:sectPr w:rsidR="00D93041">
          <w:pgSz w:w="11906" w:h="16838"/>
          <w:pgMar w:top="1440" w:right="1800" w:bottom="1440" w:left="1800" w:header="851" w:footer="992" w:gutter="0"/>
          <w:cols w:space="425"/>
          <w:docGrid w:type="lines" w:linePitch="312"/>
        </w:sectPr>
      </w:pPr>
    </w:p>
    <w:p w14:paraId="4FFE94A0" w14:textId="77777777" w:rsidR="00D93041" w:rsidRDefault="00D93041"/>
    <w:sectPr w:rsidR="00D9304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dmNTI4ODMxN2Y3NjY3MjllZDZhMjhjMTBiNGFiMWUifQ=="/>
    <w:docVar w:name="KSO_WPS_MARK_KEY" w:val="53e37dac-5f4a-40b6-b127-08bf68051c0a"/>
  </w:docVars>
  <w:rsids>
    <w:rsidRoot w:val="00CE0EFC"/>
    <w:rsid w:val="001D6799"/>
    <w:rsid w:val="00272C4A"/>
    <w:rsid w:val="004219FD"/>
    <w:rsid w:val="00533B2C"/>
    <w:rsid w:val="005C48D6"/>
    <w:rsid w:val="00721A4B"/>
    <w:rsid w:val="00770835"/>
    <w:rsid w:val="007972C7"/>
    <w:rsid w:val="00B439F8"/>
    <w:rsid w:val="00C65583"/>
    <w:rsid w:val="00CE0EFC"/>
    <w:rsid w:val="00D16BCF"/>
    <w:rsid w:val="00D93041"/>
    <w:rsid w:val="00EB6EC3"/>
    <w:rsid w:val="00F0739C"/>
    <w:rsid w:val="00FF7D19"/>
    <w:rsid w:val="1D65301C"/>
    <w:rsid w:val="1FB262C1"/>
    <w:rsid w:val="21F050CD"/>
    <w:rsid w:val="26DA0261"/>
    <w:rsid w:val="274C4B05"/>
    <w:rsid w:val="293C189D"/>
    <w:rsid w:val="2B5E554F"/>
    <w:rsid w:val="32186458"/>
    <w:rsid w:val="32924A57"/>
    <w:rsid w:val="331C11F4"/>
    <w:rsid w:val="38AA5930"/>
    <w:rsid w:val="390F3E7C"/>
    <w:rsid w:val="39EF5B62"/>
    <w:rsid w:val="4CAF218B"/>
    <w:rsid w:val="4CAF57B3"/>
    <w:rsid w:val="55872E29"/>
    <w:rsid w:val="59A541C5"/>
    <w:rsid w:val="5CC851E8"/>
    <w:rsid w:val="5E7303EE"/>
    <w:rsid w:val="645C0AE6"/>
    <w:rsid w:val="66C73A46"/>
    <w:rsid w:val="687731D1"/>
    <w:rsid w:val="76C9109B"/>
    <w:rsid w:val="79256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FA80A3-D0F5-4BC3-9B1C-3272A700F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autoRedefine/>
    <w:qFormat/>
    <w:pPr>
      <w:widowControl w:val="0"/>
      <w:jc w:val="both"/>
    </w:pPr>
    <w:rPr>
      <w:rFonts w:asciiTheme="minorEastAsia" w:eastAsiaTheme="minorEastAsia" w:hAnsiTheme="minorHAnsi"/>
      <w:snapToGrid w:val="0"/>
      <w:sz w:val="21"/>
      <w:szCs w:val="21"/>
      <w:lang w:val="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qFormat/>
    <w:pPr>
      <w:spacing w:line="360" w:lineRule="auto"/>
      <w:ind w:firstLineChars="200" w:firstLine="480"/>
    </w:pPr>
  </w:style>
  <w:style w:type="paragraph" w:styleId="a4">
    <w:name w:val="annotation text"/>
    <w:basedOn w:val="a"/>
    <w:link w:val="Char"/>
    <w:uiPriority w:val="99"/>
    <w:semiHidden/>
    <w:unhideWhenUsed/>
    <w:qFormat/>
    <w:pPr>
      <w:jc w:val="left"/>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tabs>
        <w:tab w:val="center" w:pos="4153"/>
        <w:tab w:val="right" w:pos="8306"/>
      </w:tabs>
      <w:snapToGrid w:val="0"/>
      <w:jc w:val="center"/>
    </w:pPr>
    <w:rPr>
      <w:sz w:val="18"/>
      <w:szCs w:val="18"/>
    </w:rPr>
  </w:style>
  <w:style w:type="paragraph" w:styleId="a8">
    <w:name w:val="Normal (Web)"/>
    <w:basedOn w:val="a"/>
    <w:autoRedefine/>
    <w:uiPriority w:val="99"/>
    <w:unhideWhenUsed/>
    <w:qFormat/>
    <w:pPr>
      <w:widowControl/>
      <w:spacing w:before="100" w:beforeAutospacing="1" w:after="100" w:afterAutospacing="1"/>
      <w:jc w:val="left"/>
    </w:pPr>
    <w:rPr>
      <w:rFonts w:ascii="宋体" w:eastAsia="宋体" w:hAnsi="宋体" w:cs="宋体"/>
      <w:snapToGrid/>
      <w:sz w:val="24"/>
      <w:szCs w:val="24"/>
      <w:lang w:val="en-US"/>
    </w:rPr>
  </w:style>
  <w:style w:type="paragraph" w:styleId="a9">
    <w:name w:val="annotation subject"/>
    <w:basedOn w:val="a4"/>
    <w:next w:val="a4"/>
    <w:link w:val="Char3"/>
    <w:uiPriority w:val="99"/>
    <w:semiHidden/>
    <w:unhideWhenUsed/>
    <w:qFormat/>
    <w:rPr>
      <w:b/>
      <w:bCs/>
    </w:rPr>
  </w:style>
  <w:style w:type="character" w:styleId="aa">
    <w:name w:val="annotation reference"/>
    <w:basedOn w:val="a1"/>
    <w:uiPriority w:val="99"/>
    <w:semiHidden/>
    <w:unhideWhenUsed/>
    <w:qFormat/>
    <w:rPr>
      <w:sz w:val="21"/>
      <w:szCs w:val="21"/>
    </w:rPr>
  </w:style>
  <w:style w:type="paragraph" w:customStyle="1" w:styleId="ab">
    <w:name w:val="标准文件_段"/>
    <w:qFormat/>
    <w:pPr>
      <w:autoSpaceDE w:val="0"/>
      <w:autoSpaceDN w:val="0"/>
      <w:ind w:firstLineChars="200" w:firstLine="200"/>
      <w:jc w:val="both"/>
    </w:pPr>
    <w:rPr>
      <w:rFonts w:ascii="宋体"/>
      <w:sz w:val="21"/>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character" w:customStyle="1" w:styleId="Char2">
    <w:name w:val="页眉 Char"/>
    <w:basedOn w:val="a1"/>
    <w:link w:val="a7"/>
    <w:uiPriority w:val="99"/>
    <w:qFormat/>
    <w:rPr>
      <w:rFonts w:asciiTheme="minorEastAsia" w:cs="Times New Roman"/>
      <w:snapToGrid w:val="0"/>
      <w:sz w:val="18"/>
      <w:szCs w:val="18"/>
      <w:lang w:val="en-GB"/>
    </w:rPr>
  </w:style>
  <w:style w:type="character" w:customStyle="1" w:styleId="Char1">
    <w:name w:val="页脚 Char"/>
    <w:basedOn w:val="a1"/>
    <w:link w:val="a6"/>
    <w:uiPriority w:val="99"/>
    <w:qFormat/>
    <w:rPr>
      <w:rFonts w:asciiTheme="minorEastAsia" w:cs="Times New Roman"/>
      <w:snapToGrid w:val="0"/>
      <w:sz w:val="18"/>
      <w:szCs w:val="18"/>
      <w:lang w:val="en-GB"/>
    </w:rPr>
  </w:style>
  <w:style w:type="character" w:customStyle="1" w:styleId="Char">
    <w:name w:val="批注文字 Char"/>
    <w:basedOn w:val="a1"/>
    <w:link w:val="a4"/>
    <w:uiPriority w:val="99"/>
    <w:semiHidden/>
    <w:qFormat/>
    <w:rPr>
      <w:rFonts w:asciiTheme="minorEastAsia" w:cs="Times New Roman"/>
      <w:snapToGrid w:val="0"/>
      <w:sz w:val="21"/>
      <w:szCs w:val="21"/>
      <w:lang w:val="en-GB"/>
    </w:rPr>
  </w:style>
  <w:style w:type="character" w:customStyle="1" w:styleId="Char3">
    <w:name w:val="批注主题 Char"/>
    <w:basedOn w:val="Char"/>
    <w:link w:val="a9"/>
    <w:uiPriority w:val="99"/>
    <w:semiHidden/>
    <w:qFormat/>
    <w:rPr>
      <w:rFonts w:asciiTheme="minorEastAsia" w:cs="Times New Roman"/>
      <w:b/>
      <w:bCs/>
      <w:snapToGrid w:val="0"/>
      <w:sz w:val="21"/>
      <w:szCs w:val="21"/>
      <w:lang w:val="en-GB"/>
    </w:rPr>
  </w:style>
  <w:style w:type="character" w:customStyle="1" w:styleId="Char0">
    <w:name w:val="批注框文本 Char"/>
    <w:basedOn w:val="a1"/>
    <w:link w:val="a5"/>
    <w:uiPriority w:val="99"/>
    <w:semiHidden/>
    <w:qFormat/>
    <w:rPr>
      <w:rFonts w:asciiTheme="minorEastAsia" w:cs="Times New Roman"/>
      <w:snapToGrid w:val="0"/>
      <w:sz w:val="18"/>
      <w:szCs w:val="18"/>
      <w:lang w:val="en-GB"/>
    </w:rPr>
  </w:style>
  <w:style w:type="table" w:styleId="ac">
    <w:name w:val="Grid Table Light"/>
    <w:basedOn w:val="a2"/>
    <w:uiPriority w:val="40"/>
    <w:rsid w:val="00D16BCF"/>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201</Words>
  <Characters>1149</Characters>
  <Application>Microsoft Office Word</Application>
  <DocSecurity>0</DocSecurity>
  <Lines>9</Lines>
  <Paragraphs>2</Paragraphs>
  <ScaleCrop>false</ScaleCrop>
  <Company>Microsoft</Company>
  <LinksUpToDate>false</LinksUpToDate>
  <CharactersWithSpaces>1348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2024-07-25T05:35:00Z</dcterms:created>
  <dcterms:modified xsi:type="dcterms:W3CDTF">2024-08-29T08:56:00Z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E947945C8B154924A4047FEBA5898CE9</vt:lpwstr>
  </property>
</Properties>
</file>