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F0A9B" w14:textId="77777777" w:rsidR="0004460E" w:rsidRDefault="00000000">
      <w:pPr>
        <w:spacing w:line="360" w:lineRule="auto"/>
        <w:jc w:val="left"/>
        <w:rPr>
          <w:rFonts w:ascii="黑体" w:eastAsia="黑体" w:hAnsi="华文细黑" w:hint="eastAsia"/>
          <w:sz w:val="24"/>
        </w:rPr>
      </w:pPr>
      <w:r>
        <w:rPr>
          <w:rFonts w:ascii="黑体" w:eastAsia="黑体" w:hAnsi="华文细黑" w:hint="eastAsia"/>
          <w:sz w:val="24"/>
        </w:rPr>
        <w:t>附件7</w:t>
      </w:r>
    </w:p>
    <w:tbl>
      <w:tblPr>
        <w:tblW w:w="0" w:type="auto"/>
        <w:jc w:val="center"/>
        <w:tblLayout w:type="fixed"/>
        <w:tblLook w:val="04A0" w:firstRow="1" w:lastRow="0" w:firstColumn="1" w:lastColumn="0" w:noHBand="0" w:noVBand="1"/>
      </w:tblPr>
      <w:tblGrid>
        <w:gridCol w:w="8177"/>
      </w:tblGrid>
      <w:tr w:rsidR="0004460E" w14:paraId="77E49D48" w14:textId="77777777">
        <w:trPr>
          <w:trHeight w:val="1573"/>
          <w:jc w:val="center"/>
        </w:trPr>
        <w:tc>
          <w:tcPr>
            <w:tcW w:w="8177" w:type="dxa"/>
          </w:tcPr>
          <w:p w14:paraId="652759A6" w14:textId="77777777" w:rsidR="0004460E" w:rsidRDefault="0004460E">
            <w:pPr>
              <w:adjustRightInd w:val="0"/>
              <w:snapToGrid w:val="0"/>
              <w:spacing w:beforeLines="50" w:before="156"/>
              <w:jc w:val="center"/>
              <w:rPr>
                <w:rFonts w:eastAsia="黑体"/>
                <w:spacing w:val="20"/>
                <w:sz w:val="44"/>
              </w:rPr>
            </w:pPr>
          </w:p>
          <w:p w14:paraId="5AC5DB41" w14:textId="77777777" w:rsidR="0004460E" w:rsidRDefault="0004460E">
            <w:pPr>
              <w:adjustRightInd w:val="0"/>
              <w:snapToGrid w:val="0"/>
              <w:spacing w:beforeLines="50" w:before="156"/>
              <w:jc w:val="center"/>
              <w:rPr>
                <w:rFonts w:eastAsia="黑体"/>
                <w:spacing w:val="20"/>
                <w:sz w:val="44"/>
              </w:rPr>
            </w:pPr>
          </w:p>
          <w:p w14:paraId="3BC39CB7" w14:textId="77777777" w:rsidR="0004460E" w:rsidRDefault="00000000">
            <w:pPr>
              <w:adjustRightInd w:val="0"/>
              <w:snapToGrid w:val="0"/>
              <w:spacing w:beforeLines="50" w:before="156"/>
              <w:jc w:val="center"/>
              <w:rPr>
                <w:rFonts w:ascii="宋体" w:eastAsia="黑体" w:hAnsi="Calibri"/>
                <w:spacing w:val="20"/>
                <w:sz w:val="44"/>
              </w:rPr>
            </w:pPr>
            <w:r>
              <w:rPr>
                <w:rFonts w:ascii="宋体" w:eastAsia="黑体" w:hAnsi="Calibri" w:hint="eastAsia"/>
                <w:spacing w:val="20"/>
                <w:sz w:val="44"/>
              </w:rPr>
              <w:t>中国造船工程学会标准</w:t>
            </w:r>
          </w:p>
          <w:p w14:paraId="5166942A" w14:textId="77777777" w:rsidR="0004460E" w:rsidRDefault="00000000">
            <w:pPr>
              <w:adjustRightInd w:val="0"/>
              <w:snapToGrid w:val="0"/>
              <w:spacing w:beforeLines="50" w:before="156"/>
              <w:jc w:val="center"/>
              <w:rPr>
                <w:rFonts w:eastAsia="黑体"/>
                <w:spacing w:val="20"/>
                <w:sz w:val="44"/>
              </w:rPr>
            </w:pPr>
            <w:r>
              <w:rPr>
                <w:rFonts w:ascii="宋体" w:eastAsia="黑体" w:hAnsi="Calibri" w:hint="eastAsia"/>
                <w:spacing w:val="20"/>
                <w:sz w:val="44"/>
              </w:rPr>
              <w:t>《</w:t>
            </w:r>
            <w:bookmarkStart w:id="0" w:name="_Hlk160009684"/>
            <w:r>
              <w:rPr>
                <w:rFonts w:ascii="宋体" w:eastAsia="黑体" w:hAnsi="Calibri" w:hint="eastAsia"/>
                <w:spacing w:val="20"/>
                <w:sz w:val="44"/>
              </w:rPr>
              <w:t>深海齿轮传动装置</w:t>
            </w:r>
            <w:bookmarkEnd w:id="0"/>
            <w:r>
              <w:rPr>
                <w:rFonts w:ascii="宋体" w:eastAsia="黑体" w:hAnsi="Calibri" w:hint="eastAsia"/>
                <w:spacing w:val="20"/>
                <w:sz w:val="44"/>
              </w:rPr>
              <w:t>技术要求》</w:t>
            </w:r>
          </w:p>
          <w:p w14:paraId="0D9E0856" w14:textId="77777777" w:rsidR="0004460E" w:rsidRDefault="0004460E">
            <w:pPr>
              <w:adjustRightInd w:val="0"/>
              <w:snapToGrid w:val="0"/>
              <w:spacing w:beforeLines="50" w:before="156"/>
              <w:jc w:val="center"/>
              <w:rPr>
                <w:rFonts w:eastAsia="黑体"/>
                <w:spacing w:val="20"/>
                <w:sz w:val="44"/>
              </w:rPr>
            </w:pPr>
          </w:p>
          <w:p w14:paraId="6C403CC5" w14:textId="77777777" w:rsidR="0004460E" w:rsidRDefault="0004460E">
            <w:pPr>
              <w:adjustRightInd w:val="0"/>
              <w:snapToGrid w:val="0"/>
              <w:spacing w:beforeLines="50" w:before="156"/>
              <w:jc w:val="center"/>
              <w:rPr>
                <w:rFonts w:eastAsia="黑体"/>
                <w:spacing w:val="20"/>
                <w:sz w:val="44"/>
              </w:rPr>
            </w:pPr>
          </w:p>
          <w:p w14:paraId="082CBA74" w14:textId="77777777" w:rsidR="0004460E" w:rsidRDefault="00000000">
            <w:pPr>
              <w:adjustRightInd w:val="0"/>
              <w:snapToGrid w:val="0"/>
              <w:spacing w:beforeLines="50" w:before="156"/>
              <w:jc w:val="center"/>
              <w:rPr>
                <w:rFonts w:ascii="宋体" w:eastAsia="黑体" w:hAnsi="Calibri"/>
                <w:spacing w:val="20"/>
                <w:sz w:val="44"/>
              </w:rPr>
            </w:pPr>
            <w:r>
              <w:rPr>
                <w:rFonts w:ascii="宋体" w:eastAsia="黑体" w:hAnsi="Calibri" w:hint="eastAsia"/>
                <w:spacing w:val="20"/>
                <w:sz w:val="44"/>
              </w:rPr>
              <w:t>编制说明</w:t>
            </w:r>
          </w:p>
          <w:p w14:paraId="2069574E" w14:textId="77777777" w:rsidR="0004460E" w:rsidRDefault="0004460E">
            <w:pPr>
              <w:jc w:val="center"/>
              <w:rPr>
                <w:rFonts w:ascii="宋体" w:eastAsia="黑体" w:hAnsi="Calibri"/>
                <w:spacing w:val="20"/>
                <w:sz w:val="28"/>
              </w:rPr>
            </w:pPr>
          </w:p>
          <w:p w14:paraId="47705E59" w14:textId="77777777" w:rsidR="0004460E" w:rsidRDefault="0004460E">
            <w:pPr>
              <w:jc w:val="center"/>
              <w:rPr>
                <w:rFonts w:ascii="宋体" w:eastAsia="黑体" w:hAnsi="Calibri"/>
                <w:spacing w:val="20"/>
                <w:sz w:val="28"/>
              </w:rPr>
            </w:pPr>
          </w:p>
          <w:p w14:paraId="4BFF61F4" w14:textId="77777777" w:rsidR="0004460E" w:rsidRDefault="0004460E">
            <w:pPr>
              <w:jc w:val="center"/>
              <w:rPr>
                <w:rFonts w:ascii="宋体" w:eastAsia="黑体" w:hAnsi="Calibri"/>
                <w:spacing w:val="20"/>
                <w:sz w:val="28"/>
              </w:rPr>
            </w:pPr>
          </w:p>
          <w:p w14:paraId="1D4A941E" w14:textId="77777777" w:rsidR="0004460E" w:rsidRDefault="0004460E">
            <w:pPr>
              <w:jc w:val="center"/>
              <w:rPr>
                <w:rFonts w:ascii="宋体" w:eastAsia="黑体" w:hAnsi="Calibri"/>
                <w:spacing w:val="20"/>
                <w:sz w:val="28"/>
              </w:rPr>
            </w:pPr>
          </w:p>
          <w:p w14:paraId="3EBE2D5B" w14:textId="77777777" w:rsidR="0004460E" w:rsidRDefault="00000000">
            <w:pPr>
              <w:jc w:val="center"/>
              <w:rPr>
                <w:rFonts w:ascii="宋体" w:eastAsia="黑体" w:hAnsi="Calibri"/>
                <w:spacing w:val="20"/>
                <w:sz w:val="32"/>
                <w:szCs w:val="32"/>
              </w:rPr>
            </w:pPr>
            <w:r>
              <w:rPr>
                <w:rFonts w:ascii="宋体" w:eastAsia="黑体" w:hAnsi="Calibri" w:hint="eastAsia"/>
                <w:spacing w:val="20"/>
                <w:sz w:val="32"/>
                <w:szCs w:val="32"/>
              </w:rPr>
              <w:t>（</w:t>
            </w:r>
            <w:r>
              <w:rPr>
                <w:rFonts w:ascii="黑体" w:eastAsia="黑体" w:hint="eastAsia"/>
                <w:spacing w:val="20"/>
                <w:sz w:val="32"/>
                <w:szCs w:val="32"/>
                <w:lang w:val="en-US"/>
              </w:rPr>
              <w:t>征求意见</w:t>
            </w:r>
            <w:r>
              <w:rPr>
                <w:rFonts w:ascii="宋体" w:eastAsia="黑体" w:hAnsi="Calibri" w:hint="eastAsia"/>
                <w:spacing w:val="20"/>
                <w:sz w:val="32"/>
                <w:szCs w:val="32"/>
              </w:rPr>
              <w:t>稿）</w:t>
            </w:r>
          </w:p>
          <w:p w14:paraId="1C55A31B" w14:textId="77777777" w:rsidR="0004460E" w:rsidRDefault="0004460E">
            <w:pPr>
              <w:jc w:val="center"/>
              <w:rPr>
                <w:rFonts w:ascii="宋体" w:eastAsia="黑体" w:hAnsi="Calibri"/>
                <w:spacing w:val="20"/>
                <w:sz w:val="28"/>
              </w:rPr>
            </w:pPr>
          </w:p>
          <w:p w14:paraId="79899888" w14:textId="77777777" w:rsidR="0004460E" w:rsidRDefault="0004460E">
            <w:pPr>
              <w:jc w:val="center"/>
              <w:rPr>
                <w:rFonts w:ascii="宋体" w:eastAsia="黑体" w:hAnsi="Calibri"/>
                <w:spacing w:val="20"/>
                <w:sz w:val="28"/>
              </w:rPr>
            </w:pPr>
          </w:p>
          <w:p w14:paraId="1A28AF33" w14:textId="77777777" w:rsidR="0004460E" w:rsidRDefault="0004460E">
            <w:pPr>
              <w:jc w:val="center"/>
              <w:rPr>
                <w:rFonts w:ascii="宋体" w:eastAsia="黑体" w:hAnsi="Calibri"/>
                <w:spacing w:val="20"/>
                <w:sz w:val="28"/>
              </w:rPr>
            </w:pPr>
          </w:p>
          <w:p w14:paraId="39A5AA29" w14:textId="77777777" w:rsidR="0004460E" w:rsidRDefault="0004460E">
            <w:pPr>
              <w:jc w:val="center"/>
              <w:rPr>
                <w:rFonts w:ascii="宋体" w:eastAsia="黑体" w:hAnsi="Calibri"/>
                <w:spacing w:val="20"/>
                <w:sz w:val="28"/>
              </w:rPr>
            </w:pPr>
          </w:p>
          <w:p w14:paraId="63A944E2" w14:textId="77777777" w:rsidR="0004460E" w:rsidRDefault="0004460E">
            <w:pPr>
              <w:adjustRightInd w:val="0"/>
              <w:snapToGrid w:val="0"/>
              <w:spacing w:beforeLines="50" w:before="156"/>
              <w:jc w:val="center"/>
              <w:rPr>
                <w:rFonts w:ascii="宋体" w:eastAsia="黑体" w:hAnsi="Calibri"/>
                <w:spacing w:val="20"/>
                <w:sz w:val="44"/>
              </w:rPr>
            </w:pPr>
          </w:p>
          <w:p w14:paraId="21605925" w14:textId="77777777" w:rsidR="0004460E" w:rsidRDefault="00000000">
            <w:pPr>
              <w:adjustRightInd w:val="0"/>
              <w:snapToGrid w:val="0"/>
              <w:spacing w:beforeLines="50" w:before="156"/>
              <w:jc w:val="center"/>
              <w:rPr>
                <w:rFonts w:ascii="宋体" w:eastAsia="黑体" w:hAnsi="Calibri"/>
                <w:sz w:val="44"/>
                <w:szCs w:val="44"/>
              </w:rPr>
            </w:pPr>
            <w:r>
              <w:rPr>
                <w:rFonts w:ascii="黑体" w:eastAsia="黑体" w:hint="eastAsia"/>
                <w:sz w:val="32"/>
                <w:szCs w:val="32"/>
                <w:lang w:val="en-US"/>
              </w:rPr>
              <w:t>2024</w:t>
            </w:r>
            <w:r>
              <w:rPr>
                <w:rFonts w:ascii="黑体" w:eastAsia="黑体" w:hAnsi="Calibri" w:hint="eastAsia"/>
                <w:sz w:val="32"/>
                <w:szCs w:val="32"/>
              </w:rPr>
              <w:t>年</w:t>
            </w:r>
            <w:r>
              <w:rPr>
                <w:rFonts w:ascii="黑体" w:eastAsia="黑体" w:hAnsi="Calibri" w:hint="eastAsia"/>
                <w:sz w:val="32"/>
                <w:szCs w:val="32"/>
                <w:lang w:val="en-US"/>
              </w:rPr>
              <w:t>08</w:t>
            </w:r>
            <w:r>
              <w:rPr>
                <w:rFonts w:ascii="黑体" w:eastAsia="黑体" w:hAnsi="Calibri" w:hint="eastAsia"/>
                <w:sz w:val="32"/>
                <w:szCs w:val="32"/>
              </w:rPr>
              <w:t>月</w:t>
            </w:r>
          </w:p>
        </w:tc>
      </w:tr>
    </w:tbl>
    <w:p w14:paraId="12B27518" w14:textId="77777777" w:rsidR="0004460E" w:rsidRDefault="0004460E">
      <w:pPr>
        <w:adjustRightInd w:val="0"/>
        <w:snapToGrid w:val="0"/>
        <w:spacing w:beforeLines="50" w:before="156"/>
        <w:jc w:val="center"/>
        <w:rPr>
          <w:rFonts w:eastAsia="黑体"/>
          <w:spacing w:val="20"/>
          <w:sz w:val="44"/>
        </w:rPr>
        <w:sectPr w:rsidR="0004460E">
          <w:pgSz w:w="11906" w:h="16838"/>
          <w:pgMar w:top="1440" w:right="1800" w:bottom="1440" w:left="1800" w:header="851" w:footer="992" w:gutter="0"/>
          <w:pgNumType w:start="1"/>
          <w:cols w:space="425"/>
          <w:docGrid w:type="lines" w:linePitch="312"/>
        </w:sectPr>
      </w:pPr>
    </w:p>
    <w:p w14:paraId="6B577C47" w14:textId="77777777" w:rsidR="0004460E" w:rsidRDefault="00000000">
      <w:pPr>
        <w:spacing w:line="360" w:lineRule="auto"/>
        <w:jc w:val="left"/>
        <w:rPr>
          <w:rFonts w:hAnsiTheme="minorEastAsia" w:hint="eastAsia"/>
          <w:b/>
          <w:sz w:val="24"/>
        </w:rPr>
      </w:pPr>
      <w:r>
        <w:rPr>
          <w:rFonts w:hAnsiTheme="minorEastAsia" w:hint="eastAsia"/>
          <w:b/>
          <w:sz w:val="24"/>
        </w:rPr>
        <w:lastRenderedPageBreak/>
        <w:t>一、工作简况</w:t>
      </w:r>
    </w:p>
    <w:p w14:paraId="099137F0" w14:textId="77777777" w:rsidR="0004460E" w:rsidRDefault="00000000">
      <w:pPr>
        <w:spacing w:line="360" w:lineRule="auto"/>
        <w:jc w:val="left"/>
        <w:rPr>
          <w:rFonts w:ascii="宋体" w:hAnsi="宋体" w:hint="eastAsia"/>
          <w:b/>
          <w:sz w:val="24"/>
        </w:rPr>
      </w:pPr>
      <w:r>
        <w:rPr>
          <w:rFonts w:ascii="宋体" w:eastAsia="宋体" w:hAnsi="宋体" w:hint="eastAsia"/>
          <w:b/>
          <w:sz w:val="24"/>
        </w:rPr>
        <w:t>（一）任务来源</w:t>
      </w:r>
    </w:p>
    <w:p w14:paraId="79510C02" w14:textId="77777777" w:rsidR="0004460E" w:rsidRDefault="00000000">
      <w:pPr>
        <w:spacing w:line="360" w:lineRule="auto"/>
        <w:ind w:firstLineChars="200" w:firstLine="480"/>
        <w:jc w:val="left"/>
        <w:rPr>
          <w:rFonts w:hAnsiTheme="minorEastAsia" w:hint="eastAsia"/>
          <w:iCs/>
          <w:sz w:val="24"/>
        </w:rPr>
      </w:pPr>
      <w:r>
        <w:rPr>
          <w:rFonts w:hAnsiTheme="minorEastAsia" w:hint="eastAsia"/>
          <w:iCs/>
          <w:sz w:val="24"/>
        </w:rPr>
        <w:t>中国造船工程学会标准《深海齿轮传动装置技术要求》（T/CSNAME 105-XXXX）由</w:t>
      </w:r>
      <w:r>
        <w:rPr>
          <w:rFonts w:hAnsiTheme="minorEastAsia" w:hint="eastAsia"/>
          <w:iCs/>
          <w:sz w:val="24"/>
          <w:lang w:val="en-US"/>
        </w:rPr>
        <w:t>中国船舶科学研究中心</w:t>
      </w:r>
      <w:r>
        <w:rPr>
          <w:rFonts w:hAnsiTheme="minorEastAsia" w:hint="eastAsia"/>
          <w:iCs/>
          <w:sz w:val="24"/>
        </w:rPr>
        <w:t>主编，编制时间为2024年3月-2024年X月。</w:t>
      </w:r>
    </w:p>
    <w:p w14:paraId="23283DE2" w14:textId="77777777" w:rsidR="0004460E" w:rsidRDefault="00000000">
      <w:pPr>
        <w:spacing w:line="360" w:lineRule="auto"/>
        <w:ind w:firstLineChars="200" w:firstLine="480"/>
        <w:jc w:val="left"/>
      </w:pPr>
      <w:r>
        <w:rPr>
          <w:rFonts w:hAnsiTheme="minorEastAsia" w:hint="eastAsia"/>
          <w:iCs/>
          <w:sz w:val="24"/>
        </w:rPr>
        <w:t>本标准根据中国造船工程学会《关于下达船载碳捕集系统通用设计要求下团体标准计划的通知》（船会[2024]67号）于2024年7月15日获准立项，由中国造船工程学会标准化学术委员会提出，由中国造船工程学会归口。</w:t>
      </w:r>
    </w:p>
    <w:p w14:paraId="356DC0E0" w14:textId="77777777" w:rsidR="0004460E" w:rsidRDefault="00000000">
      <w:pPr>
        <w:spacing w:line="360" w:lineRule="auto"/>
        <w:jc w:val="left"/>
        <w:rPr>
          <w:rFonts w:hAnsiTheme="minorEastAsia" w:hint="eastAsia"/>
          <w:iCs/>
          <w:sz w:val="24"/>
          <w:lang w:val="en-US"/>
        </w:rPr>
      </w:pPr>
      <w:r>
        <w:rPr>
          <w:rFonts w:ascii="宋体" w:eastAsia="宋体" w:hAnsi="宋体" w:hint="eastAsia"/>
          <w:b/>
          <w:sz w:val="24"/>
        </w:rPr>
        <w:t>（二）标准的研究、起草过程</w:t>
      </w:r>
    </w:p>
    <w:p w14:paraId="1A4E6734"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rPr>
        <w:t>2024年3月，</w:t>
      </w:r>
      <w:r>
        <w:rPr>
          <w:rFonts w:hAnsiTheme="minorEastAsia" w:hint="eastAsia"/>
          <w:iCs/>
          <w:sz w:val="24"/>
          <w:lang w:val="en-US"/>
        </w:rPr>
        <w:t>中国船舶科学研究中心通过调研，了解了深海作业环境下对齿轮传动装置的特殊要求，获取了深海环境数据（压力、温度、腐蚀介质等）以及对传动装置性能影响，分析了现有在深海或类似恶劣工况下运行的传动装置存在的问题和经验教训。基于以上调研，中国船舶科学研究中心收集国内外已有的深海相关技术资料和标准，包括海洋装备、齿轮传动等领域，分析现有齿轮传动技术（材料、制造工艺、设计方法、密封技术等）在深海环境下的适应性和不足，对制定新的技术要求标准的可行性进行了论证。</w:t>
      </w:r>
    </w:p>
    <w:p w14:paraId="7C217F94"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rPr>
        <w:t>2024年4月，</w:t>
      </w:r>
      <w:r>
        <w:rPr>
          <w:rFonts w:hAnsiTheme="minorEastAsia" w:hint="eastAsia"/>
          <w:iCs/>
          <w:sz w:val="24"/>
          <w:lang w:val="en-US"/>
        </w:rPr>
        <w:t>中国船舶科学研究中心联合深海技术科学太湖实验室、重庆齿轮箱有限责任公司和重庆大学等单位成立标准编制组，初步确定《深海齿轮传动装置技术要求》的框架结构，明确技术要求包含设计方面、材料方面、制造工艺方面、密封方面、检测检验方面。</w:t>
      </w:r>
    </w:p>
    <w:p w14:paraId="192EA254"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rPr>
        <w:t>2024年5月，</w:t>
      </w:r>
      <w:r>
        <w:rPr>
          <w:rFonts w:hAnsiTheme="minorEastAsia" w:hint="eastAsia"/>
          <w:iCs/>
          <w:sz w:val="24"/>
          <w:lang w:val="en-US"/>
        </w:rPr>
        <w:t>编制组根据分工分别起草相应部分的详细技术要求和规范条文，汇总形成完整的标准文件。</w:t>
      </w:r>
    </w:p>
    <w:p w14:paraId="0057F655" w14:textId="77777777" w:rsidR="0004460E" w:rsidRDefault="00000000">
      <w:pPr>
        <w:spacing w:line="360" w:lineRule="auto"/>
        <w:ind w:firstLineChars="200" w:firstLine="480"/>
        <w:jc w:val="left"/>
        <w:rPr>
          <w:rFonts w:hAnsiTheme="minorEastAsia" w:hint="eastAsia"/>
          <w:iCs/>
          <w:sz w:val="24"/>
        </w:rPr>
      </w:pPr>
      <w:r>
        <w:rPr>
          <w:rFonts w:hAnsiTheme="minorEastAsia" w:hint="eastAsia"/>
          <w:iCs/>
          <w:sz w:val="24"/>
        </w:rPr>
        <w:t>20</w:t>
      </w:r>
      <w:r>
        <w:rPr>
          <w:rFonts w:hAnsiTheme="minorEastAsia" w:hint="eastAsia"/>
          <w:iCs/>
          <w:sz w:val="24"/>
          <w:lang w:val="en-US"/>
        </w:rPr>
        <w:t>24</w:t>
      </w:r>
      <w:r>
        <w:rPr>
          <w:rFonts w:hAnsiTheme="minorEastAsia" w:hint="eastAsia"/>
          <w:iCs/>
          <w:sz w:val="24"/>
        </w:rPr>
        <w:t>年6月，标准化学术委员会组织有关专家进行标准立项函审，《深海齿轮传动装置技术要求》通过立项，并于中国造船工程学会官网完成立项公示。</w:t>
      </w:r>
    </w:p>
    <w:p w14:paraId="27C660D9" w14:textId="77777777" w:rsidR="0004460E" w:rsidRDefault="00000000">
      <w:pPr>
        <w:spacing w:line="360" w:lineRule="auto"/>
        <w:ind w:firstLineChars="200" w:firstLine="480"/>
        <w:jc w:val="left"/>
        <w:rPr>
          <w:rFonts w:hAnsiTheme="minorEastAsia" w:hint="eastAsia"/>
          <w:i/>
          <w:sz w:val="24"/>
          <w:u w:val="single"/>
        </w:rPr>
      </w:pPr>
      <w:r>
        <w:rPr>
          <w:rFonts w:hAnsiTheme="minorEastAsia" w:hint="eastAsia"/>
          <w:iCs/>
          <w:sz w:val="24"/>
        </w:rPr>
        <w:t>20</w:t>
      </w:r>
      <w:r>
        <w:rPr>
          <w:rFonts w:hAnsiTheme="minorEastAsia" w:hint="eastAsia"/>
          <w:iCs/>
          <w:sz w:val="24"/>
          <w:lang w:val="en-US"/>
        </w:rPr>
        <w:t>24</w:t>
      </w:r>
      <w:r>
        <w:rPr>
          <w:rFonts w:hAnsiTheme="minorEastAsia" w:hint="eastAsia"/>
          <w:iCs/>
          <w:sz w:val="24"/>
        </w:rPr>
        <w:t>年8月，编制组对</w:t>
      </w:r>
      <w:r>
        <w:rPr>
          <w:rFonts w:hAnsiTheme="minorEastAsia" w:hint="eastAsia"/>
          <w:iCs/>
          <w:sz w:val="24"/>
          <w:lang w:val="en-US"/>
        </w:rPr>
        <w:t>立项</w:t>
      </w:r>
      <w:r>
        <w:rPr>
          <w:rFonts w:hAnsiTheme="minorEastAsia" w:hint="eastAsia"/>
          <w:iCs/>
          <w:sz w:val="24"/>
        </w:rPr>
        <w:t>评审过程中的专家意见逐一进行讨论，一共X条意见，其中采纳X条，部分采纳X条，不采纳X条。编制组根据意见修改完善标准形成征求意见稿和编制说明（征求意见稿）。</w:t>
      </w:r>
    </w:p>
    <w:p w14:paraId="5FA40296" w14:textId="77777777" w:rsidR="0004460E" w:rsidRDefault="00000000">
      <w:pPr>
        <w:spacing w:line="360" w:lineRule="auto"/>
        <w:jc w:val="left"/>
        <w:rPr>
          <w:rFonts w:hAnsiTheme="minorEastAsia" w:hint="eastAsia"/>
          <w:b/>
          <w:sz w:val="24"/>
        </w:rPr>
      </w:pPr>
      <w:r>
        <w:rPr>
          <w:rFonts w:hAnsiTheme="minorEastAsia" w:hint="eastAsia"/>
          <w:b/>
          <w:sz w:val="24"/>
        </w:rPr>
        <w:t>二、标准编制原则及主要技术内容</w:t>
      </w:r>
    </w:p>
    <w:p w14:paraId="6EB22C92" w14:textId="77777777" w:rsidR="0004460E" w:rsidRDefault="00000000">
      <w:pPr>
        <w:spacing w:line="360" w:lineRule="auto"/>
        <w:jc w:val="left"/>
        <w:rPr>
          <w:rFonts w:ascii="宋体" w:hAnsi="宋体" w:hint="eastAsia"/>
          <w:b/>
          <w:sz w:val="24"/>
        </w:rPr>
      </w:pPr>
      <w:r>
        <w:rPr>
          <w:rFonts w:ascii="宋体" w:eastAsia="宋体" w:hAnsi="宋体" w:hint="eastAsia"/>
          <w:b/>
          <w:sz w:val="24"/>
        </w:rPr>
        <w:t>（一）</w:t>
      </w:r>
      <w:r>
        <w:rPr>
          <w:rFonts w:ascii="宋体" w:hAnsi="宋体" w:hint="eastAsia"/>
          <w:b/>
          <w:sz w:val="24"/>
        </w:rPr>
        <w:t>编制原则</w:t>
      </w:r>
    </w:p>
    <w:p w14:paraId="2E0CB6FE"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lastRenderedPageBreak/>
        <w:t>1.规范性</w:t>
      </w:r>
    </w:p>
    <w:p w14:paraId="38D509E9"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本标准按照GB/T 1.1－2020《标准化工作导则第1 部分：标准化文件的结构和起草规则》和GB/T 20001.10-2014 《标准编写规则 第10部分：产品标准》进行编写。</w:t>
      </w:r>
    </w:p>
    <w:p w14:paraId="42AD5554"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2.先进性</w:t>
      </w:r>
    </w:p>
    <w:p w14:paraId="5E799837" w14:textId="75D3B80A"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国外深海齿轮传动系统在深海采矿车的履带行走系统和切削机构部件上已有应用，但无专门针对深海齿轮传动系统的试验标准。本标准</w:t>
      </w:r>
      <w:r>
        <w:rPr>
          <w:rFonts w:hAnsiTheme="minorEastAsia" w:hint="eastAsia"/>
          <w:iCs/>
          <w:sz w:val="24"/>
        </w:rPr>
        <w:t>在充分总结和比较了国内外</w:t>
      </w:r>
      <w:r>
        <w:rPr>
          <w:rFonts w:hAnsiTheme="minorEastAsia" w:hint="eastAsia"/>
          <w:iCs/>
          <w:sz w:val="24"/>
          <w:lang w:val="en-US"/>
        </w:rPr>
        <w:t>潜水器和齿轮传动方面的技术要求基础上，参考了GB/T 150.1-2011《压力容器 第1部分：通用要求》、GB/T 40073-2021《潜水器金属耐压壳外压强度试验方法》对潜水器耐压设备的试验方法和GB/T 40729-2021《精密齿轮传动装置疲劳寿命试验方法》对齿轮传动装置的试验方法，提出了深海齿轮传动装置的有关试验方法，将填补国内标准方面的空白。</w:t>
      </w:r>
    </w:p>
    <w:p w14:paraId="4EF6FF70"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3.协调性</w:t>
      </w:r>
    </w:p>
    <w:p w14:paraId="488C108C"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rPr>
        <w:t>本标准提出的作业要求与国家、行业标准中的相关作业标准和船级社规范要求协调统一。</w:t>
      </w:r>
    </w:p>
    <w:p w14:paraId="4CE851C3" w14:textId="77777777" w:rsidR="0004460E" w:rsidRDefault="00000000">
      <w:pPr>
        <w:spacing w:line="360" w:lineRule="auto"/>
        <w:jc w:val="left"/>
        <w:rPr>
          <w:rFonts w:ascii="宋体" w:hAnsi="宋体" w:hint="eastAsia"/>
          <w:b/>
          <w:sz w:val="24"/>
        </w:rPr>
      </w:pPr>
      <w:r>
        <w:rPr>
          <w:rFonts w:ascii="宋体" w:hAnsi="宋体" w:hint="eastAsia"/>
          <w:b/>
          <w:sz w:val="24"/>
        </w:rPr>
        <w:t>（二）标准主要内容</w:t>
      </w:r>
    </w:p>
    <w:p w14:paraId="37DC0D9E"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本文件规定了深海作业装备上的齿轮传动装置（以下简称齿轮传动装置）的技术要求，包括材料要求、设计要求、性能要求、安全性要求和检验规则。</w:t>
      </w:r>
    </w:p>
    <w:p w14:paraId="2608C159"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本文件适用于深海作业装备用齿轮传动装置的设计、制造和试验。</w:t>
      </w:r>
    </w:p>
    <w:p w14:paraId="5FB869DF" w14:textId="77777777" w:rsidR="0004460E" w:rsidRDefault="00000000">
      <w:pPr>
        <w:spacing w:line="360" w:lineRule="auto"/>
        <w:jc w:val="left"/>
        <w:rPr>
          <w:rFonts w:hAnsiTheme="minorEastAsia" w:hint="eastAsia"/>
          <w:b/>
          <w:sz w:val="24"/>
        </w:rPr>
      </w:pPr>
      <w:r>
        <w:rPr>
          <w:rFonts w:ascii="宋体" w:hAnsi="宋体" w:hint="eastAsia"/>
          <w:b/>
          <w:sz w:val="24"/>
        </w:rPr>
        <w:t>（三）主要技术指标确定依据</w:t>
      </w:r>
    </w:p>
    <w:p w14:paraId="2387D018" w14:textId="1129A83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本文件的</w:t>
      </w:r>
      <w:r w:rsidR="008660FF">
        <w:rPr>
          <w:rFonts w:hAnsiTheme="minorEastAsia" w:hint="eastAsia"/>
          <w:iCs/>
          <w:sz w:val="24"/>
          <w:lang w:val="en-US"/>
        </w:rPr>
        <w:t>主</w:t>
      </w:r>
      <w:r>
        <w:rPr>
          <w:rFonts w:hAnsiTheme="minorEastAsia" w:hint="eastAsia"/>
          <w:iCs/>
          <w:sz w:val="24"/>
          <w:lang w:val="en-US"/>
        </w:rPr>
        <w:t>要技术指标确定依据如下：</w:t>
      </w:r>
    </w:p>
    <w:p w14:paraId="4AE8D19A"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1. 空载运行要求、传动效率要求、超载运行要求、耐久性要求、堵转保护要求、制造精度要求参考了陆地齿轮传动装置的技术标准制订。</w:t>
      </w:r>
    </w:p>
    <w:p w14:paraId="1F60A601"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2. 噪声要求依据海洋声学和振动学的研究，结合陆地齿轮传动装置的噪声要求，确定深海齿轮传动装置允许的噪音水平。</w:t>
      </w:r>
    </w:p>
    <w:p w14:paraId="0CC3DEC2" w14:textId="77777777" w:rsidR="0004460E" w:rsidRDefault="00000000">
      <w:pPr>
        <w:spacing w:line="360" w:lineRule="auto"/>
        <w:ind w:firstLineChars="200" w:firstLine="480"/>
        <w:jc w:val="left"/>
        <w:rPr>
          <w:rFonts w:hAnsiTheme="minorEastAsia" w:hint="eastAsia"/>
          <w:i/>
          <w:sz w:val="24"/>
          <w:u w:val="single"/>
        </w:rPr>
      </w:pPr>
      <w:r>
        <w:rPr>
          <w:rFonts w:hAnsiTheme="minorEastAsia" w:hint="eastAsia"/>
          <w:iCs/>
          <w:sz w:val="24"/>
          <w:lang w:val="en-US"/>
        </w:rPr>
        <w:t>3. 密封性要求和耐压性要求根据潜水器设备的相关耐压要求，确定深海齿轮传动装置允许的耐压性要求。</w:t>
      </w:r>
    </w:p>
    <w:p w14:paraId="4DC9A970" w14:textId="77777777" w:rsidR="0004460E" w:rsidRDefault="00000000">
      <w:pPr>
        <w:numPr>
          <w:ilvl w:val="0"/>
          <w:numId w:val="2"/>
        </w:numPr>
        <w:spacing w:line="360" w:lineRule="auto"/>
        <w:jc w:val="left"/>
        <w:rPr>
          <w:rFonts w:hAnsiTheme="minorEastAsia" w:hint="eastAsia"/>
          <w:b/>
          <w:sz w:val="24"/>
        </w:rPr>
      </w:pPr>
      <w:r>
        <w:rPr>
          <w:rFonts w:hAnsiTheme="minorEastAsia" w:hint="eastAsia"/>
          <w:b/>
          <w:sz w:val="24"/>
        </w:rPr>
        <w:t>主要试验（验证）情况分析</w:t>
      </w:r>
    </w:p>
    <w:p w14:paraId="62EB0797"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本文件的验证主要是在国家重点研发项目“高抗压耐腐蚀齿轮传动系统关</w:t>
      </w:r>
      <w:r>
        <w:rPr>
          <w:rFonts w:hAnsiTheme="minorEastAsia" w:hint="eastAsia"/>
          <w:iCs/>
          <w:sz w:val="24"/>
          <w:lang w:val="en-US"/>
        </w:rPr>
        <w:lastRenderedPageBreak/>
        <w:t>键技术”中进行，主要进行了以下验证。</w:t>
      </w:r>
    </w:p>
    <w:p w14:paraId="3AECA5F1" w14:textId="036A18FE" w:rsidR="0004460E" w:rsidRDefault="008660FF">
      <w:pPr>
        <w:spacing w:line="360" w:lineRule="auto"/>
        <w:ind w:firstLineChars="200" w:firstLine="480"/>
        <w:jc w:val="left"/>
        <w:rPr>
          <w:rFonts w:hAnsiTheme="minorEastAsia" w:hint="eastAsia"/>
          <w:iCs/>
          <w:sz w:val="24"/>
          <w:lang w:val="en-US"/>
        </w:rPr>
      </w:pPr>
      <w:r>
        <w:rPr>
          <w:rFonts w:hAnsiTheme="minorEastAsia" w:hint="eastAsia"/>
          <w:iCs/>
          <w:sz w:val="24"/>
          <w:lang w:val="en-US"/>
        </w:rPr>
        <w:t>1．</w:t>
      </w:r>
      <w:r w:rsidR="00000000">
        <w:rPr>
          <w:rFonts w:hAnsiTheme="minorEastAsia" w:hint="eastAsia"/>
          <w:iCs/>
          <w:sz w:val="24"/>
          <w:lang w:val="en-US"/>
        </w:rPr>
        <w:t>通过记录深海齿轮传动装置在空载运行期间有无异响、有无渗漏等数据，对标准中的空载运行要求进行了验证，初步筛选齿轮装置的效果良好，证明标准要求的可行性。</w:t>
      </w:r>
    </w:p>
    <w:p w14:paraId="7D4C6933" w14:textId="75628FA4" w:rsidR="0004460E" w:rsidRDefault="008660FF">
      <w:pPr>
        <w:spacing w:line="360" w:lineRule="auto"/>
        <w:ind w:firstLineChars="200" w:firstLine="480"/>
        <w:jc w:val="left"/>
        <w:rPr>
          <w:rFonts w:hAnsiTheme="minorEastAsia" w:hint="eastAsia"/>
          <w:iCs/>
          <w:sz w:val="24"/>
          <w:lang w:val="en-US"/>
        </w:rPr>
      </w:pPr>
      <w:r>
        <w:rPr>
          <w:rFonts w:hAnsiTheme="minorEastAsia" w:hint="eastAsia"/>
          <w:iCs/>
          <w:sz w:val="24"/>
          <w:lang w:val="en-US"/>
        </w:rPr>
        <w:t xml:space="preserve">2. </w:t>
      </w:r>
      <w:r w:rsidR="00000000">
        <w:rPr>
          <w:rFonts w:hAnsiTheme="minorEastAsia" w:hint="eastAsia"/>
          <w:iCs/>
          <w:sz w:val="24"/>
          <w:lang w:val="en-US"/>
        </w:rPr>
        <w:t>通过记录深海齿轮传动装置在额定负载下的运行噪音，对标准中噪音要求的额定负载运行时噪音不高于85dB(A)进行了验证，证明指标要求的可行性。</w:t>
      </w:r>
    </w:p>
    <w:p w14:paraId="2EA008BA" w14:textId="3C287F5F" w:rsidR="0004460E" w:rsidRDefault="008660FF">
      <w:pPr>
        <w:spacing w:line="360" w:lineRule="auto"/>
        <w:ind w:firstLineChars="200" w:firstLine="480"/>
        <w:jc w:val="left"/>
        <w:rPr>
          <w:rFonts w:hAnsiTheme="minorEastAsia" w:hint="eastAsia"/>
          <w:iCs/>
          <w:sz w:val="24"/>
          <w:lang w:val="en-US"/>
        </w:rPr>
      </w:pPr>
      <w:r>
        <w:rPr>
          <w:rFonts w:hAnsiTheme="minorEastAsia" w:hint="eastAsia"/>
          <w:iCs/>
          <w:sz w:val="24"/>
          <w:lang w:val="en-US"/>
        </w:rPr>
        <w:t xml:space="preserve">3. </w:t>
      </w:r>
      <w:r w:rsidR="00000000">
        <w:rPr>
          <w:rFonts w:hAnsiTheme="minorEastAsia" w:hint="eastAsia"/>
          <w:iCs/>
          <w:sz w:val="24"/>
          <w:lang w:val="en-US"/>
        </w:rPr>
        <w:t>通过船用齿轮传动装置的传动效率、堵转保护要求，对标准中的传动效率要求不低于80%进行了参照，证明指标要求的可行性。</w:t>
      </w:r>
    </w:p>
    <w:p w14:paraId="18B740DE" w14:textId="77777777" w:rsidR="0004460E" w:rsidRDefault="00000000">
      <w:pPr>
        <w:spacing w:line="360" w:lineRule="auto"/>
        <w:jc w:val="left"/>
        <w:rPr>
          <w:rFonts w:hAnsiTheme="minorEastAsia" w:hint="eastAsia"/>
          <w:b/>
          <w:sz w:val="24"/>
        </w:rPr>
      </w:pPr>
      <w:r>
        <w:rPr>
          <w:rFonts w:hAnsiTheme="minorEastAsia" w:hint="eastAsia"/>
          <w:b/>
          <w:sz w:val="24"/>
        </w:rPr>
        <w:t>四、标准中有关专利情况说明</w:t>
      </w:r>
    </w:p>
    <w:p w14:paraId="2FC6D2C5"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无</w:t>
      </w:r>
    </w:p>
    <w:p w14:paraId="6F05F61C" w14:textId="77777777" w:rsidR="0004460E" w:rsidRDefault="00000000">
      <w:pPr>
        <w:spacing w:line="360" w:lineRule="auto"/>
        <w:jc w:val="left"/>
        <w:rPr>
          <w:rFonts w:hAnsiTheme="minorEastAsia" w:hint="eastAsia"/>
          <w:b/>
          <w:sz w:val="24"/>
        </w:rPr>
      </w:pPr>
      <w:r>
        <w:rPr>
          <w:rFonts w:hAnsiTheme="minorEastAsia" w:hint="eastAsia"/>
          <w:b/>
          <w:sz w:val="24"/>
        </w:rPr>
        <w:t>五、预期达到的经济社会效益</w:t>
      </w:r>
    </w:p>
    <w:p w14:paraId="4721093C"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深海齿轮传动系统是海洋矿产资源开采装备、深海挖沟机、深海重载作业机器人传输动力的核心部件，也是制约高端海洋装备尤其深海采矿装备服役性能的关重件。其性能直接影响到整个装备的可靠性和运行效率。深海环境具有高压、低温、高腐蚀性等极端条件，这对齿轮传动装置的材料、结构设计和密封性能等提出了极高的要求。一旦相关技术要求得以确立并实现技术突破，将可广泛应用于各种深海装备中，提高我国深海装备的整体性能和竞争力，为深海科学研究、资源勘探和开发等提供有力支持。因而制定满足深海服役环境的齿轮传动系统标准对推动该领域海洋装备的发展具有重要意义。</w:t>
      </w:r>
    </w:p>
    <w:p w14:paraId="0A6222C5"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本标准的发布有助于企业提升竞争力，使企业生产深海齿轮传动装置有标准可依，促进产品质量稳定和性能提升，在参与国内外深海项目招标等竞争中更具优势；使深海齿轮传动系统的成本优化：标准化的设计、制造和检测流程可以减少不必要的研发投入和试验成本；批量生产符合标准的零部件和组件可以降低生产成本；有助于产业带动：促进相关上下游产业（如特种材料、密封件、润滑油等）的协同发展和技术进步，企业可获得更优质低价的配套资源</w:t>
      </w:r>
    </w:p>
    <w:p w14:paraId="30C2A320" w14:textId="77777777" w:rsidR="0004460E" w:rsidRDefault="0004460E">
      <w:pPr>
        <w:spacing w:line="360" w:lineRule="auto"/>
        <w:ind w:firstLineChars="200" w:firstLine="480"/>
        <w:jc w:val="left"/>
        <w:rPr>
          <w:rFonts w:hAnsiTheme="minorEastAsia" w:hint="eastAsia"/>
          <w:iCs/>
          <w:sz w:val="24"/>
          <w:lang w:val="en-US"/>
        </w:rPr>
      </w:pPr>
    </w:p>
    <w:p w14:paraId="68772F77" w14:textId="77777777" w:rsidR="0004460E" w:rsidRDefault="00000000">
      <w:pPr>
        <w:numPr>
          <w:ilvl w:val="0"/>
          <w:numId w:val="3"/>
        </w:numPr>
        <w:spacing w:line="360" w:lineRule="auto"/>
        <w:jc w:val="left"/>
        <w:rPr>
          <w:rFonts w:hAnsiTheme="minorEastAsia" w:hint="eastAsia"/>
          <w:iCs/>
          <w:sz w:val="24"/>
          <w:lang w:val="en-US"/>
        </w:rPr>
      </w:pPr>
      <w:r>
        <w:rPr>
          <w:rFonts w:hAnsiTheme="minorEastAsia" w:hint="eastAsia"/>
          <w:b/>
          <w:sz w:val="24"/>
        </w:rPr>
        <w:t>采用国际标准和国外先进标准情况</w:t>
      </w:r>
    </w:p>
    <w:p w14:paraId="7ACD554E"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无。</w:t>
      </w:r>
    </w:p>
    <w:p w14:paraId="41F05529" w14:textId="77777777" w:rsidR="0004460E" w:rsidRDefault="00000000">
      <w:pPr>
        <w:numPr>
          <w:ilvl w:val="0"/>
          <w:numId w:val="3"/>
        </w:numPr>
        <w:spacing w:line="360" w:lineRule="auto"/>
        <w:jc w:val="left"/>
        <w:rPr>
          <w:rFonts w:hAnsiTheme="minorEastAsia" w:hint="eastAsia"/>
          <w:b/>
          <w:sz w:val="24"/>
        </w:rPr>
      </w:pPr>
      <w:r>
        <w:rPr>
          <w:rFonts w:hAnsiTheme="minorEastAsia" w:hint="eastAsia"/>
          <w:b/>
          <w:sz w:val="24"/>
        </w:rPr>
        <w:lastRenderedPageBreak/>
        <w:t>重大分歧意见的处理经过和依据</w:t>
      </w:r>
    </w:p>
    <w:p w14:paraId="463C7E8E"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无。</w:t>
      </w:r>
    </w:p>
    <w:p w14:paraId="084D512C" w14:textId="77777777" w:rsidR="0004460E" w:rsidRDefault="00000000">
      <w:pPr>
        <w:spacing w:line="360" w:lineRule="auto"/>
        <w:jc w:val="left"/>
        <w:rPr>
          <w:rFonts w:hAnsiTheme="minorEastAsia" w:hint="eastAsia"/>
          <w:b/>
          <w:sz w:val="24"/>
        </w:rPr>
      </w:pPr>
      <w:r>
        <w:rPr>
          <w:rFonts w:hAnsiTheme="minorEastAsia" w:hint="eastAsia"/>
          <w:b/>
          <w:sz w:val="24"/>
        </w:rPr>
        <w:t>八、贯彻学会标准的要求和措施建议</w:t>
      </w:r>
    </w:p>
    <w:p w14:paraId="67AE669A"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在</w:t>
      </w:r>
      <w:r>
        <w:rPr>
          <w:rFonts w:hAnsiTheme="minorEastAsia"/>
          <w:iCs/>
          <w:sz w:val="24"/>
          <w:lang w:val="en-US"/>
        </w:rPr>
        <w:t>组织措施</w:t>
      </w:r>
      <w:r>
        <w:rPr>
          <w:rFonts w:hAnsiTheme="minorEastAsia" w:hint="eastAsia"/>
          <w:iCs/>
          <w:sz w:val="24"/>
          <w:lang w:val="en-US"/>
        </w:rPr>
        <w:t>方面，1、</w:t>
      </w:r>
      <w:r>
        <w:rPr>
          <w:rFonts w:hAnsiTheme="minorEastAsia"/>
          <w:iCs/>
          <w:sz w:val="24"/>
          <w:lang w:val="en-US"/>
        </w:rPr>
        <w:t>成立专门的标准贯彻小组</w:t>
      </w:r>
      <w:r>
        <w:rPr>
          <w:rFonts w:hAnsiTheme="minorEastAsia" w:hint="eastAsia"/>
          <w:iCs/>
          <w:sz w:val="24"/>
          <w:lang w:val="en-US"/>
        </w:rPr>
        <w:t>，</w:t>
      </w:r>
      <w:r>
        <w:rPr>
          <w:rFonts w:hAnsiTheme="minorEastAsia"/>
          <w:iCs/>
          <w:sz w:val="24"/>
          <w:lang w:val="en-US"/>
        </w:rPr>
        <w:t>组成员包括来自不同部门的负责人和技术骨干，负责统筹协调标准贯彻工作。明确小组成员的职责和分工，确保工作有序推进</w:t>
      </w:r>
      <w:r>
        <w:rPr>
          <w:rFonts w:hAnsiTheme="minorEastAsia" w:hint="eastAsia"/>
          <w:iCs/>
          <w:sz w:val="24"/>
          <w:lang w:val="en-US"/>
        </w:rPr>
        <w:t>；2、</w:t>
      </w:r>
      <w:r>
        <w:rPr>
          <w:rFonts w:hAnsiTheme="minorEastAsia"/>
          <w:iCs/>
          <w:sz w:val="24"/>
          <w:lang w:val="en-US"/>
        </w:rPr>
        <w:t>制定详细的工作计划</w:t>
      </w:r>
      <w:r>
        <w:rPr>
          <w:rFonts w:hAnsiTheme="minorEastAsia" w:hint="eastAsia"/>
          <w:iCs/>
          <w:sz w:val="24"/>
          <w:lang w:val="en-US"/>
        </w:rPr>
        <w:t>，</w:t>
      </w:r>
      <w:r>
        <w:rPr>
          <w:rFonts w:hAnsiTheme="minorEastAsia"/>
          <w:iCs/>
          <w:sz w:val="24"/>
          <w:lang w:val="en-US"/>
        </w:rPr>
        <w:t>设定明确的时间表和里程碑，将标准贯彻工作分解为具体的阶段性任务</w:t>
      </w:r>
      <w:r>
        <w:rPr>
          <w:rFonts w:hAnsiTheme="minorEastAsia" w:hint="eastAsia"/>
          <w:iCs/>
          <w:sz w:val="24"/>
          <w:lang w:val="en-US"/>
        </w:rPr>
        <w:t>，</w:t>
      </w:r>
      <w:r>
        <w:rPr>
          <w:rFonts w:hAnsiTheme="minorEastAsia"/>
          <w:iCs/>
          <w:sz w:val="24"/>
          <w:lang w:val="en-US"/>
        </w:rPr>
        <w:t>定期召开工作会议，检查工作进展，解决出现的问题</w:t>
      </w:r>
      <w:r>
        <w:rPr>
          <w:rFonts w:hAnsiTheme="minorEastAsia" w:hint="eastAsia"/>
          <w:iCs/>
          <w:sz w:val="24"/>
          <w:lang w:val="en-US"/>
        </w:rPr>
        <w:t>；</w:t>
      </w:r>
      <w:r>
        <w:rPr>
          <w:rFonts w:hAnsiTheme="minorEastAsia"/>
          <w:iCs/>
          <w:sz w:val="24"/>
          <w:lang w:val="en-US"/>
        </w:rPr>
        <w:t>开展全员培训</w:t>
      </w:r>
      <w:r>
        <w:rPr>
          <w:rFonts w:hAnsiTheme="minorEastAsia" w:hint="eastAsia"/>
          <w:iCs/>
          <w:sz w:val="24"/>
          <w:lang w:val="en-US"/>
        </w:rPr>
        <w:t>；3、</w:t>
      </w:r>
      <w:r>
        <w:rPr>
          <w:rFonts w:hAnsiTheme="minorEastAsia"/>
          <w:iCs/>
          <w:sz w:val="24"/>
          <w:lang w:val="en-US"/>
        </w:rPr>
        <w:t>设立专门的监督岗位，对标准贯彻情况进行日常检查和监督。定期对各部门的执行情况进行评估，将评估结果与绩效挂钩</w:t>
      </w:r>
      <w:r>
        <w:rPr>
          <w:rFonts w:hAnsiTheme="minorEastAsia" w:hint="eastAsia"/>
          <w:iCs/>
          <w:sz w:val="24"/>
          <w:lang w:val="en-US"/>
        </w:rPr>
        <w:t>；4、</w:t>
      </w:r>
      <w:r>
        <w:rPr>
          <w:rFonts w:hAnsiTheme="minorEastAsia"/>
          <w:iCs/>
          <w:sz w:val="24"/>
          <w:lang w:val="en-US"/>
        </w:rPr>
        <w:t>建立有效的信息共享平台，促进部门之间的交流与合作</w:t>
      </w:r>
      <w:r>
        <w:rPr>
          <w:rFonts w:hAnsiTheme="minorEastAsia" w:hint="eastAsia"/>
          <w:iCs/>
          <w:sz w:val="24"/>
          <w:lang w:val="en-US"/>
        </w:rPr>
        <w:t>，</w:t>
      </w:r>
      <w:r>
        <w:rPr>
          <w:rFonts w:hAnsiTheme="minorEastAsia"/>
          <w:iCs/>
          <w:sz w:val="24"/>
          <w:lang w:val="en-US"/>
        </w:rPr>
        <w:t>针对跨部门的问题，及时组织协调会议，共同解决。</w:t>
      </w:r>
    </w:p>
    <w:p w14:paraId="40BCA559"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在</w:t>
      </w:r>
      <w:r>
        <w:rPr>
          <w:rFonts w:hAnsiTheme="minorEastAsia"/>
          <w:iCs/>
          <w:sz w:val="24"/>
          <w:lang w:val="en-US"/>
        </w:rPr>
        <w:t>技术措施</w:t>
      </w:r>
      <w:r>
        <w:rPr>
          <w:rFonts w:hAnsiTheme="minorEastAsia" w:hint="eastAsia"/>
          <w:iCs/>
          <w:sz w:val="24"/>
          <w:lang w:val="en-US"/>
        </w:rPr>
        <w:t>方面，</w:t>
      </w:r>
      <w:r>
        <w:rPr>
          <w:rFonts w:hAnsiTheme="minorEastAsia"/>
          <w:iCs/>
          <w:sz w:val="24"/>
          <w:lang w:val="en-US"/>
        </w:rPr>
        <w:t>按照学会标准重新梳理和优化业务流程，提高工作效率和质量。制定详细的操作规范和作业指导书，确保每个环节都符合标准要求。依据学会标准建立完善的质量控制流程和标准，对产品或服务进行全过程质量监控。运用统计过程控制等方法，及时发现和解决质量问题。</w:t>
      </w:r>
    </w:p>
    <w:p w14:paraId="7C3EE99A" w14:textId="77777777" w:rsidR="0004460E" w:rsidRDefault="00000000">
      <w:pPr>
        <w:spacing w:line="360" w:lineRule="auto"/>
        <w:ind w:firstLineChars="200" w:firstLine="480"/>
        <w:jc w:val="left"/>
        <w:rPr>
          <w:rFonts w:hAnsiTheme="minorEastAsia" w:hint="eastAsia"/>
          <w:iCs/>
          <w:sz w:val="24"/>
          <w:lang w:val="en-US"/>
        </w:rPr>
      </w:pPr>
      <w:r>
        <w:rPr>
          <w:rFonts w:hAnsiTheme="minorEastAsia" w:hint="eastAsia"/>
          <w:iCs/>
          <w:sz w:val="24"/>
          <w:lang w:val="en-US"/>
        </w:rPr>
        <w:t>在</w:t>
      </w:r>
      <w:r>
        <w:rPr>
          <w:rFonts w:hAnsiTheme="minorEastAsia"/>
          <w:iCs/>
          <w:sz w:val="24"/>
          <w:lang w:val="en-US"/>
        </w:rPr>
        <w:t>过渡办法</w:t>
      </w:r>
      <w:r>
        <w:rPr>
          <w:rFonts w:hAnsiTheme="minorEastAsia" w:hint="eastAsia"/>
          <w:iCs/>
          <w:sz w:val="24"/>
          <w:lang w:val="en-US"/>
        </w:rPr>
        <w:t>方面，</w:t>
      </w:r>
      <w:r>
        <w:rPr>
          <w:rFonts w:hAnsiTheme="minorEastAsia"/>
          <w:iCs/>
          <w:sz w:val="24"/>
          <w:lang w:val="en-US"/>
        </w:rPr>
        <w:t>将标准贯彻工作划分为若干阶段，逐步推进，降低实施难度。在每个阶段设定明确的目标和任务，逐步实现全面达标。</w:t>
      </w:r>
    </w:p>
    <w:p w14:paraId="1CE697E2" w14:textId="77777777" w:rsidR="0004460E" w:rsidRDefault="00000000">
      <w:pPr>
        <w:spacing w:line="360" w:lineRule="auto"/>
        <w:ind w:firstLineChars="200" w:firstLine="480"/>
        <w:jc w:val="left"/>
        <w:rPr>
          <w:rFonts w:hAnsiTheme="minorEastAsia" w:hint="eastAsia"/>
          <w:i/>
          <w:sz w:val="24"/>
          <w:u w:val="single"/>
        </w:rPr>
      </w:pPr>
      <w:r>
        <w:rPr>
          <w:rFonts w:hAnsiTheme="minorEastAsia"/>
          <w:iCs/>
          <w:sz w:val="24"/>
          <w:lang w:val="en-US"/>
        </w:rPr>
        <w:t>通过以上组织措施、技术措施和过渡办法的综合运用，可以有效地贯彻学会标准，实现工作的规范化和标准化。</w:t>
      </w:r>
    </w:p>
    <w:p w14:paraId="42C4E00D" w14:textId="77777777" w:rsidR="0004460E" w:rsidRDefault="00000000">
      <w:pPr>
        <w:numPr>
          <w:ilvl w:val="0"/>
          <w:numId w:val="3"/>
        </w:numPr>
        <w:spacing w:line="360" w:lineRule="auto"/>
        <w:jc w:val="left"/>
        <w:rPr>
          <w:rFonts w:hAnsiTheme="minorEastAsia" w:hint="eastAsia"/>
          <w:b/>
          <w:sz w:val="24"/>
        </w:rPr>
      </w:pPr>
      <w:r>
        <w:rPr>
          <w:rFonts w:hAnsiTheme="minorEastAsia" w:hint="eastAsia"/>
          <w:b/>
          <w:sz w:val="24"/>
        </w:rPr>
        <w:t>其它应予说明的事项</w:t>
      </w:r>
    </w:p>
    <w:p w14:paraId="5FF1DB7D" w14:textId="4BD3E6F7" w:rsidR="0004460E" w:rsidRDefault="0004460E">
      <w:pPr>
        <w:spacing w:line="360" w:lineRule="auto"/>
        <w:ind w:firstLineChars="200" w:firstLine="480"/>
        <w:jc w:val="left"/>
        <w:rPr>
          <w:rFonts w:hAnsiTheme="minorEastAsia" w:hint="eastAsia"/>
          <w:iCs/>
          <w:sz w:val="24"/>
          <w:lang w:val="en-US"/>
        </w:rPr>
        <w:sectPr w:rsidR="0004460E">
          <w:pgSz w:w="11906" w:h="16838"/>
          <w:pgMar w:top="1440" w:right="1800" w:bottom="1440" w:left="1800" w:header="851" w:footer="992" w:gutter="0"/>
          <w:cols w:space="425"/>
          <w:docGrid w:type="lines" w:linePitch="312"/>
        </w:sectPr>
      </w:pPr>
    </w:p>
    <w:p w14:paraId="15AD52F8" w14:textId="77777777" w:rsidR="0004460E" w:rsidRDefault="0004460E">
      <w:pPr>
        <w:rPr>
          <w:rFonts w:hint="eastAsia"/>
        </w:rPr>
      </w:pPr>
    </w:p>
    <w:sectPr w:rsidR="000446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C1F727C"/>
    <w:multiLevelType w:val="singleLevel"/>
    <w:tmpl w:val="EC1F727C"/>
    <w:lvl w:ilvl="0">
      <w:start w:val="3"/>
      <w:numFmt w:val="chineseCounting"/>
      <w:suff w:val="nothing"/>
      <w:lvlText w:val="%1、"/>
      <w:lvlJc w:val="left"/>
      <w:rPr>
        <w:rFonts w:hint="eastAsia"/>
      </w:rPr>
    </w:lvl>
  </w:abstractNum>
  <w:abstractNum w:abstractNumId="1" w15:restartNumberingAfterBreak="0">
    <w:nsid w:val="225DE66C"/>
    <w:multiLevelType w:val="singleLevel"/>
    <w:tmpl w:val="225DE66C"/>
    <w:lvl w:ilvl="0">
      <w:start w:val="6"/>
      <w:numFmt w:val="chineseCounting"/>
      <w:suff w:val="nothing"/>
      <w:lvlText w:val="%1、"/>
      <w:lvlJc w:val="left"/>
      <w:rPr>
        <w:rFonts w:hint="eastAsia"/>
      </w:rPr>
    </w:lvl>
  </w:abstractNum>
  <w:abstractNum w:abstractNumId="2" w15:restartNumberingAfterBreak="0">
    <w:nsid w:val="59B959F3"/>
    <w:multiLevelType w:val="multilevel"/>
    <w:tmpl w:val="59B959F3"/>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831218080">
    <w:abstractNumId w:val="2"/>
  </w:num>
  <w:num w:numId="2" w16cid:durableId="1635914143">
    <w:abstractNumId w:val="0"/>
  </w:num>
  <w:num w:numId="3" w16cid:durableId="165288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M5MTUxMTljNzMzMDFmMjRiOWJmYmM3ZDQzZTE0NDEifQ=="/>
  </w:docVars>
  <w:rsids>
    <w:rsidRoot w:val="00CE0EFC"/>
    <w:rsid w:val="0004460E"/>
    <w:rsid w:val="00047FCD"/>
    <w:rsid w:val="000E0D3D"/>
    <w:rsid w:val="00113129"/>
    <w:rsid w:val="002E724C"/>
    <w:rsid w:val="003F5B00"/>
    <w:rsid w:val="0049290F"/>
    <w:rsid w:val="004A4F73"/>
    <w:rsid w:val="008660FF"/>
    <w:rsid w:val="00900350"/>
    <w:rsid w:val="00905291"/>
    <w:rsid w:val="00A439EB"/>
    <w:rsid w:val="00B26FCD"/>
    <w:rsid w:val="00B439F8"/>
    <w:rsid w:val="00C51109"/>
    <w:rsid w:val="00CE0EFC"/>
    <w:rsid w:val="00D33568"/>
    <w:rsid w:val="00D65E44"/>
    <w:rsid w:val="00DC6A38"/>
    <w:rsid w:val="00DF77B8"/>
    <w:rsid w:val="00EC3D4F"/>
    <w:rsid w:val="00F33539"/>
    <w:rsid w:val="00F9172A"/>
    <w:rsid w:val="025C5B23"/>
    <w:rsid w:val="04A1108D"/>
    <w:rsid w:val="04D7074E"/>
    <w:rsid w:val="2A3535E0"/>
    <w:rsid w:val="38692BA6"/>
    <w:rsid w:val="50CA2A18"/>
    <w:rsid w:val="59C07777"/>
    <w:rsid w:val="6CFC1BCC"/>
    <w:rsid w:val="75A82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8609A"/>
  <w15:docId w15:val="{8919EDE3-6E7D-486C-AFB5-F145868C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eastAsiaTheme="minorEastAsia" w:hAnsiTheme="minorHAnsi"/>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a9">
    <w:name w:val="annotation subject"/>
    <w:basedOn w:val="a3"/>
    <w:next w:val="a3"/>
    <w:link w:val="aa"/>
    <w:uiPriority w:val="99"/>
    <w:semiHidden/>
    <w:unhideWhenUsed/>
    <w:rPr>
      <w:b/>
      <w:bCs/>
    </w:rPr>
  </w:style>
  <w:style w:type="character" w:styleId="ab">
    <w:name w:val="Strong"/>
    <w:basedOn w:val="a0"/>
    <w:uiPriority w:val="22"/>
    <w:qFormat/>
    <w:rPr>
      <w:b/>
    </w:rPr>
  </w:style>
  <w:style w:type="character" w:styleId="ac">
    <w:name w:val="annotation reference"/>
    <w:basedOn w:val="a0"/>
    <w:uiPriority w:val="99"/>
    <w:semiHidden/>
    <w:unhideWhenUsed/>
    <w:rPr>
      <w:sz w:val="21"/>
      <w:szCs w:val="21"/>
    </w:rPr>
  </w:style>
  <w:style w:type="character" w:customStyle="1" w:styleId="a8">
    <w:name w:val="页眉 字符"/>
    <w:basedOn w:val="a0"/>
    <w:link w:val="a7"/>
    <w:uiPriority w:val="99"/>
    <w:qFormat/>
    <w:rPr>
      <w:rFonts w:asciiTheme="minorEastAsia" w:cs="Times New Roman"/>
      <w:snapToGrid w:val="0"/>
      <w:kern w:val="0"/>
      <w:sz w:val="18"/>
      <w:szCs w:val="18"/>
      <w:lang w:val="en-GB"/>
    </w:rPr>
  </w:style>
  <w:style w:type="character" w:customStyle="1" w:styleId="a6">
    <w:name w:val="页脚 字符"/>
    <w:basedOn w:val="a0"/>
    <w:link w:val="a5"/>
    <w:uiPriority w:val="99"/>
    <w:qFormat/>
    <w:rPr>
      <w:rFonts w:asciiTheme="minorEastAsia" w:cs="Times New Roman"/>
      <w:snapToGrid w:val="0"/>
      <w:kern w:val="0"/>
      <w:sz w:val="18"/>
      <w:szCs w:val="18"/>
      <w:lang w:val="en-GB"/>
    </w:rPr>
  </w:style>
  <w:style w:type="paragraph" w:customStyle="1" w:styleId="ad">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1">
    <w:name w:val="修订1"/>
    <w:hidden/>
    <w:uiPriority w:val="99"/>
    <w:unhideWhenUsed/>
    <w:rPr>
      <w:rFonts w:asciiTheme="minorEastAsia" w:eastAsiaTheme="minorEastAsia" w:hAnsiTheme="minorHAnsi"/>
      <w:snapToGrid w:val="0"/>
      <w:sz w:val="21"/>
      <w:szCs w:val="21"/>
      <w:lang w:val="en-GB"/>
    </w:rPr>
  </w:style>
  <w:style w:type="paragraph" w:styleId="ae">
    <w:name w:val="List Paragraph"/>
    <w:basedOn w:val="a"/>
    <w:uiPriority w:val="99"/>
    <w:unhideWhenUsed/>
    <w:qFormat/>
    <w:pPr>
      <w:ind w:firstLineChars="200" w:firstLine="420"/>
    </w:pPr>
  </w:style>
  <w:style w:type="character" w:customStyle="1" w:styleId="a4">
    <w:name w:val="批注文字 字符"/>
    <w:basedOn w:val="a0"/>
    <w:link w:val="a3"/>
    <w:uiPriority w:val="99"/>
    <w:semiHidden/>
    <w:rPr>
      <w:rFonts w:asciiTheme="minorEastAsia" w:eastAsiaTheme="minorEastAsia" w:hAnsiTheme="minorHAnsi"/>
      <w:snapToGrid w:val="0"/>
      <w:sz w:val="21"/>
      <w:szCs w:val="21"/>
      <w:lang w:val="en-GB"/>
    </w:rPr>
  </w:style>
  <w:style w:type="character" w:customStyle="1" w:styleId="aa">
    <w:name w:val="批注主题 字符"/>
    <w:basedOn w:val="a4"/>
    <w:link w:val="a9"/>
    <w:uiPriority w:val="99"/>
    <w:semiHidden/>
    <w:rPr>
      <w:rFonts w:asciiTheme="minorEastAsia" w:eastAsiaTheme="minorEastAsia" w:hAnsiTheme="minorHAnsi"/>
      <w:b/>
      <w:bCs/>
      <w:snapToGrid w:val="0"/>
      <w:sz w:val="21"/>
      <w:szCs w:val="21"/>
      <w:lang w:val="en-GB"/>
    </w:rPr>
  </w:style>
  <w:style w:type="paragraph" w:styleId="af">
    <w:name w:val="Revision"/>
    <w:hidden/>
    <w:uiPriority w:val="99"/>
    <w:unhideWhenUsed/>
    <w:rsid w:val="008660FF"/>
    <w:rPr>
      <w:rFonts w:asciiTheme="minorEastAsia" w:eastAsiaTheme="minorEastAsia" w:hAnsiTheme="minorHAnsi"/>
      <w:snapToGrid w:val="0"/>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434</Words>
  <Characters>2478</Characters>
  <Application>Microsoft Office Word</Application>
  <DocSecurity>0</DocSecurity>
  <Lines>20</Lines>
  <Paragraphs>5</Paragraphs>
  <ScaleCrop>false</ScaleCrop>
  <Company>Microsoft</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PM</cp:lastModifiedBy>
  <cp:revision>11</cp:revision>
  <dcterms:created xsi:type="dcterms:W3CDTF">2024-07-03T01:52:00Z</dcterms:created>
  <dcterms:modified xsi:type="dcterms:W3CDTF">2024-11-04T09:45:00Z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7AA252AF5DCD41409EF465D9302BFA31_12</vt:lpwstr>
  </property>
</Properties>
</file>