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附件7</w:t>
      </w:r>
    </w:p>
    <w:tbl>
      <w:tblPr>
        <w:tblStyle w:val="7"/>
        <w:tblW w:w="0" w:type="auto"/>
        <w:jc w:val="center"/>
        <w:tblLayout w:type="fixed"/>
        <w:tblCellMar>
          <w:top w:w="0" w:type="dxa"/>
          <w:left w:w="108" w:type="dxa"/>
          <w:bottom w:w="0" w:type="dxa"/>
          <w:right w:w="108" w:type="dxa"/>
        </w:tblCellMar>
      </w:tblPr>
      <w:tblGrid>
        <w:gridCol w:w="8177"/>
      </w:tblGrid>
      <w:tr>
        <w:tblPrEx>
          <w:tblCellMar>
            <w:top w:w="0" w:type="dxa"/>
            <w:left w:w="108" w:type="dxa"/>
            <w:bottom w:w="0" w:type="dxa"/>
            <w:right w:w="108" w:type="dxa"/>
          </w:tblCellMar>
        </w:tblPrEx>
        <w:trPr>
          <w:trHeight w:val="1573" w:hRule="atLeast"/>
          <w:jc w:val="center"/>
        </w:trPr>
        <w:tc>
          <w:tcPr>
            <w:tcW w:w="8177" w:type="dxa"/>
          </w:tcPr>
          <w:p>
            <w:pPr>
              <w:adjustRightInd w:val="0"/>
              <w:snapToGrid w:val="0"/>
              <w:spacing w:before="156" w:beforeLines="50"/>
              <w:jc w:val="center"/>
              <w:rPr>
                <w:rFonts w:eastAsia="黑体"/>
                <w:spacing w:val="20"/>
                <w:sz w:val="44"/>
              </w:rPr>
            </w:pPr>
          </w:p>
          <w:p>
            <w:pPr>
              <w:adjustRightInd w:val="0"/>
              <w:snapToGrid w:val="0"/>
              <w:spacing w:before="156" w:beforeLines="50"/>
              <w:jc w:val="center"/>
              <w:rPr>
                <w:rFonts w:eastAsia="黑体"/>
                <w:spacing w:val="20"/>
                <w:sz w:val="44"/>
              </w:rPr>
            </w:pPr>
          </w:p>
          <w:p>
            <w:pPr>
              <w:adjustRightInd w:val="0"/>
              <w:snapToGrid w:val="0"/>
              <w:spacing w:before="156" w:beforeLines="50"/>
              <w:jc w:val="center"/>
              <w:rPr>
                <w:rFonts w:ascii="宋体" w:hAnsi="Calibri" w:eastAsia="黑体"/>
                <w:spacing w:val="20"/>
                <w:sz w:val="44"/>
              </w:rPr>
            </w:pPr>
            <w:r>
              <w:rPr>
                <w:rFonts w:hint="eastAsia" w:ascii="宋体" w:hAnsi="Calibri" w:eastAsia="黑体"/>
                <w:spacing w:val="20"/>
                <w:sz w:val="44"/>
              </w:rPr>
              <w:t>中国造船工程学会标准</w:t>
            </w:r>
          </w:p>
          <w:p>
            <w:pPr>
              <w:adjustRightInd w:val="0"/>
              <w:snapToGrid w:val="0"/>
              <w:spacing w:before="156" w:beforeLines="50"/>
              <w:jc w:val="center"/>
              <w:rPr>
                <w:rFonts w:eastAsia="黑体"/>
                <w:spacing w:val="20"/>
                <w:sz w:val="44"/>
              </w:rPr>
            </w:pPr>
            <w:r>
              <w:rPr>
                <w:rFonts w:hint="eastAsia" w:ascii="宋体" w:hAnsi="Calibri" w:eastAsia="黑体"/>
                <w:spacing w:val="20"/>
                <w:sz w:val="44"/>
              </w:rPr>
              <w:t>《</w:t>
            </w:r>
            <w:r>
              <w:rPr>
                <w:rFonts w:hint="default" w:ascii="宋体" w:hAnsi="Calibri" w:eastAsia="黑体"/>
                <w:spacing w:val="20"/>
                <w:sz w:val="44"/>
                <w:lang w:val="en-US"/>
              </w:rPr>
              <w:t>电池动力船舶能量管理系统技术要求</w:t>
            </w:r>
            <w:r>
              <w:rPr>
                <w:rFonts w:hint="eastAsia" w:ascii="宋体" w:hAnsi="Calibri" w:eastAsia="黑体"/>
                <w:spacing w:val="20"/>
                <w:sz w:val="44"/>
              </w:rPr>
              <w:t>》</w:t>
            </w:r>
          </w:p>
          <w:p>
            <w:pPr>
              <w:adjustRightInd w:val="0"/>
              <w:snapToGrid w:val="0"/>
              <w:spacing w:before="156" w:beforeLines="50"/>
              <w:jc w:val="center"/>
              <w:rPr>
                <w:rFonts w:eastAsia="黑体"/>
                <w:spacing w:val="20"/>
                <w:sz w:val="44"/>
              </w:rPr>
            </w:pPr>
          </w:p>
          <w:p>
            <w:pPr>
              <w:adjustRightInd w:val="0"/>
              <w:snapToGrid w:val="0"/>
              <w:spacing w:before="156" w:beforeLines="50"/>
              <w:jc w:val="center"/>
              <w:rPr>
                <w:rFonts w:eastAsia="黑体"/>
                <w:spacing w:val="20"/>
                <w:sz w:val="44"/>
              </w:rPr>
            </w:pPr>
          </w:p>
          <w:p>
            <w:pPr>
              <w:adjustRightInd w:val="0"/>
              <w:snapToGrid w:val="0"/>
              <w:spacing w:before="156" w:beforeLines="50"/>
              <w:jc w:val="center"/>
              <w:rPr>
                <w:rFonts w:ascii="宋体" w:hAnsi="Calibri" w:eastAsia="黑体"/>
                <w:spacing w:val="20"/>
                <w:sz w:val="44"/>
              </w:rPr>
            </w:pPr>
            <w:r>
              <w:rPr>
                <w:rFonts w:hint="eastAsia" w:ascii="宋体" w:hAnsi="Calibri" w:eastAsia="黑体"/>
                <w:spacing w:val="20"/>
                <w:sz w:val="44"/>
              </w:rPr>
              <w:t>编制说明</w:t>
            </w:r>
          </w:p>
          <w:p>
            <w:pPr>
              <w:jc w:val="center"/>
              <w:rPr>
                <w:rFonts w:ascii="宋体" w:hAnsi="Calibri" w:eastAsia="黑体"/>
                <w:spacing w:val="20"/>
                <w:sz w:val="28"/>
              </w:rPr>
            </w:pPr>
          </w:p>
          <w:p>
            <w:pPr>
              <w:jc w:val="center"/>
              <w:rPr>
                <w:rFonts w:ascii="宋体" w:hAnsi="Calibri" w:eastAsia="黑体"/>
                <w:spacing w:val="20"/>
                <w:sz w:val="28"/>
              </w:rPr>
            </w:pPr>
          </w:p>
          <w:p>
            <w:pPr>
              <w:jc w:val="center"/>
              <w:rPr>
                <w:rFonts w:ascii="宋体" w:hAnsi="Calibri" w:eastAsia="黑体"/>
                <w:spacing w:val="20"/>
                <w:sz w:val="28"/>
              </w:rPr>
            </w:pPr>
          </w:p>
          <w:p>
            <w:pPr>
              <w:jc w:val="center"/>
              <w:rPr>
                <w:rFonts w:ascii="宋体" w:hAnsi="Calibri" w:eastAsia="黑体"/>
                <w:spacing w:val="20"/>
                <w:sz w:val="28"/>
              </w:rPr>
            </w:pPr>
          </w:p>
          <w:p>
            <w:pPr>
              <w:jc w:val="center"/>
              <w:rPr>
                <w:rFonts w:ascii="宋体" w:hAnsi="Calibri" w:eastAsia="黑体"/>
                <w:spacing w:val="20"/>
                <w:sz w:val="32"/>
                <w:szCs w:val="32"/>
              </w:rPr>
            </w:pPr>
            <w:r>
              <w:rPr>
                <w:rFonts w:hint="eastAsia" w:ascii="宋体" w:hAnsi="Calibri" w:eastAsia="黑体"/>
                <w:spacing w:val="20"/>
                <w:sz w:val="32"/>
                <w:szCs w:val="32"/>
              </w:rPr>
              <w:t>（</w:t>
            </w:r>
            <w:r>
              <w:rPr>
                <w:rFonts w:hint="default" w:ascii="宋体" w:hAnsi="Calibri" w:eastAsia="黑体"/>
                <w:spacing w:val="20"/>
                <w:sz w:val="32"/>
                <w:szCs w:val="32"/>
                <w:lang w:val="en-US"/>
              </w:rPr>
              <w:t>征求意见</w:t>
            </w:r>
            <w:r>
              <w:rPr>
                <w:rFonts w:hint="eastAsia" w:ascii="宋体" w:hAnsi="Calibri" w:eastAsia="黑体"/>
                <w:spacing w:val="20"/>
                <w:sz w:val="32"/>
                <w:szCs w:val="32"/>
              </w:rPr>
              <w:t>稿）</w:t>
            </w:r>
          </w:p>
          <w:p>
            <w:pPr>
              <w:jc w:val="center"/>
              <w:rPr>
                <w:rFonts w:ascii="宋体" w:hAnsi="Calibri" w:eastAsia="黑体"/>
                <w:spacing w:val="20"/>
                <w:sz w:val="28"/>
              </w:rPr>
            </w:pPr>
          </w:p>
          <w:p>
            <w:pPr>
              <w:jc w:val="center"/>
              <w:rPr>
                <w:rFonts w:ascii="宋体" w:hAnsi="Calibri" w:eastAsia="黑体"/>
                <w:spacing w:val="20"/>
                <w:sz w:val="28"/>
              </w:rPr>
            </w:pPr>
          </w:p>
          <w:p>
            <w:pPr>
              <w:jc w:val="center"/>
              <w:rPr>
                <w:rFonts w:ascii="宋体" w:hAnsi="Calibri" w:eastAsia="黑体"/>
                <w:spacing w:val="20"/>
                <w:sz w:val="28"/>
              </w:rPr>
            </w:pPr>
          </w:p>
          <w:p>
            <w:pPr>
              <w:jc w:val="center"/>
              <w:rPr>
                <w:rFonts w:ascii="宋体" w:hAnsi="Calibri" w:eastAsia="黑体"/>
                <w:spacing w:val="20"/>
                <w:sz w:val="28"/>
              </w:rPr>
            </w:pPr>
          </w:p>
          <w:p>
            <w:pPr>
              <w:adjustRightInd w:val="0"/>
              <w:snapToGrid w:val="0"/>
              <w:spacing w:before="156" w:beforeLines="50"/>
              <w:jc w:val="center"/>
              <w:rPr>
                <w:rFonts w:ascii="宋体" w:hAnsi="Calibri" w:eastAsia="黑体"/>
                <w:spacing w:val="20"/>
                <w:sz w:val="44"/>
              </w:rPr>
            </w:pPr>
          </w:p>
          <w:p>
            <w:pPr>
              <w:adjustRightInd w:val="0"/>
              <w:snapToGrid w:val="0"/>
              <w:spacing w:before="156" w:beforeLines="50"/>
              <w:jc w:val="center"/>
              <w:rPr>
                <w:rFonts w:ascii="宋体" w:hAnsi="Calibri" w:eastAsia="黑体"/>
                <w:sz w:val="44"/>
                <w:szCs w:val="44"/>
              </w:rPr>
            </w:pPr>
            <w:r>
              <w:rPr>
                <w:rFonts w:hint="default" w:ascii="黑体" w:eastAsia="黑体"/>
                <w:sz w:val="32"/>
                <w:szCs w:val="32"/>
                <w:lang w:val="en-US"/>
              </w:rPr>
              <w:t>2024</w:t>
            </w:r>
            <w:r>
              <w:rPr>
                <w:rFonts w:hint="eastAsia" w:ascii="黑体" w:hAnsi="Calibri" w:eastAsia="黑体"/>
                <w:sz w:val="32"/>
                <w:szCs w:val="32"/>
              </w:rPr>
              <w:t>年</w:t>
            </w:r>
            <w:r>
              <w:rPr>
                <w:rFonts w:hint="default" w:ascii="黑体" w:eastAsia="黑体"/>
                <w:sz w:val="32"/>
                <w:szCs w:val="32"/>
                <w:lang w:val="en-US"/>
              </w:rPr>
              <w:t>08</w:t>
            </w:r>
            <w:r>
              <w:rPr>
                <w:rFonts w:hint="eastAsia" w:ascii="黑体" w:hAnsi="Calibri" w:eastAsia="黑体"/>
                <w:sz w:val="32"/>
                <w:szCs w:val="32"/>
              </w:rPr>
              <w:t>月</w:t>
            </w:r>
          </w:p>
        </w:tc>
      </w:tr>
    </w:tbl>
    <w:p>
      <w:pPr>
        <w:adjustRightInd w:val="0"/>
        <w:snapToGrid w:val="0"/>
        <w:spacing w:before="156" w:beforeLines="50"/>
        <w:jc w:val="center"/>
        <w:rPr>
          <w:rFonts w:eastAsia="黑体"/>
          <w:spacing w:val="20"/>
          <w:sz w:val="44"/>
        </w:rPr>
        <w:sectPr>
          <w:pgSz w:w="11906" w:h="16838"/>
          <w:pgMar w:top="1440" w:right="1800" w:bottom="1440" w:left="1800" w:header="851" w:footer="992" w:gutter="0"/>
          <w:pgNumType w:start="1"/>
          <w:cols w:space="425" w:num="1"/>
          <w:docGrid w:type="lines" w:linePitch="312" w:charSpace="0"/>
        </w:sectPr>
      </w:pPr>
    </w:p>
    <w:p>
      <w:pPr>
        <w:spacing w:line="360" w:lineRule="auto"/>
        <w:jc w:val="left"/>
        <w:rPr>
          <w:rFonts w:hAnsiTheme="minorEastAsia"/>
          <w:b/>
          <w:sz w:val="24"/>
        </w:rPr>
      </w:pPr>
      <w:r>
        <w:rPr>
          <w:rFonts w:hint="eastAsia" w:hAnsiTheme="minorEastAsia"/>
          <w:b/>
          <w:sz w:val="24"/>
        </w:rPr>
        <w:t>一、工作简况</w:t>
      </w:r>
    </w:p>
    <w:p>
      <w:pPr>
        <w:spacing w:line="360" w:lineRule="auto"/>
        <w:jc w:val="left"/>
        <w:rPr>
          <w:rFonts w:ascii="宋体" w:hAnsi="宋体"/>
          <w:b/>
          <w:sz w:val="24"/>
        </w:rPr>
      </w:pPr>
      <w:r>
        <w:rPr>
          <w:rFonts w:hint="eastAsia" w:ascii="宋体" w:hAnsi="宋体" w:eastAsia="宋体"/>
          <w:b/>
          <w:sz w:val="24"/>
        </w:rPr>
        <w:t>（一）任务来源</w:t>
      </w:r>
    </w:p>
    <w:p>
      <w:pPr>
        <w:spacing w:line="360" w:lineRule="auto"/>
        <w:ind w:firstLine="480" w:firstLineChars="200"/>
        <w:rPr>
          <w:rFonts w:hint="eastAsia" w:ascii="宋体" w:hAnsi="宋体" w:eastAsia="宋体"/>
          <w:snapToGrid/>
          <w:kern w:val="2"/>
          <w:sz w:val="24"/>
          <w:szCs w:val="24"/>
          <w:lang w:val="en-US"/>
        </w:rPr>
      </w:pPr>
      <w:r>
        <w:rPr>
          <w:rFonts w:hint="eastAsia" w:ascii="宋体" w:hAnsi="宋体" w:eastAsia="宋体"/>
          <w:snapToGrid/>
          <w:kern w:val="2"/>
          <w:sz w:val="24"/>
          <w:szCs w:val="24"/>
          <w:lang w:val="en-US"/>
        </w:rPr>
        <w:t>根据国际海事组织（IMO）预估，在不采取减排措施的情况下，到2050年，全球航运业温室气体排放量比值将由2018的3%升至5%左右。面向国内外航运法规的新要求，船舶绿色化成为</w:t>
      </w:r>
      <w:r>
        <w:rPr>
          <w:rFonts w:hint="default" w:ascii="宋体" w:hAnsi="宋体" w:eastAsia="宋体"/>
          <w:snapToGrid/>
          <w:kern w:val="2"/>
          <w:sz w:val="24"/>
          <w:szCs w:val="24"/>
          <w:lang w:val="en-US"/>
        </w:rPr>
        <w:t>新的发展方向，</w:t>
      </w:r>
      <w:r>
        <w:rPr>
          <w:rFonts w:hint="eastAsia" w:ascii="宋体" w:hAnsi="宋体" w:eastAsia="宋体"/>
          <w:snapToGrid/>
          <w:kern w:val="2"/>
          <w:sz w:val="24"/>
          <w:szCs w:val="24"/>
          <w:lang w:val="en-US"/>
        </w:rPr>
        <w:t>电池动力船舶作为一种区域性减排、零碳能源，受到广泛的关注。国内外电动船舶近几年数量快速增多，载重吨和续航力也在不断增大，相应需要配备更多和更大容量的电池，采用大容量</w:t>
      </w:r>
      <w:r>
        <w:rPr>
          <w:rFonts w:hint="default" w:ascii="宋体" w:hAnsi="宋体" w:eastAsia="宋体"/>
          <w:snapToGrid/>
          <w:kern w:val="2"/>
          <w:sz w:val="24"/>
          <w:szCs w:val="24"/>
          <w:lang w:val="en-US"/>
        </w:rPr>
        <w:t>集装箱式</w:t>
      </w:r>
      <w:r>
        <w:rPr>
          <w:rFonts w:hint="eastAsia" w:ascii="宋体" w:hAnsi="宋体" w:eastAsia="宋体"/>
          <w:snapToGrid/>
          <w:kern w:val="2"/>
          <w:sz w:val="24"/>
          <w:szCs w:val="24"/>
          <w:lang w:val="en-US"/>
        </w:rPr>
        <w:t>移动电源</w:t>
      </w:r>
      <w:r>
        <w:rPr>
          <w:rFonts w:hint="default" w:ascii="宋体" w:hAnsi="宋体" w:eastAsia="宋体"/>
          <w:snapToGrid/>
          <w:kern w:val="2"/>
          <w:sz w:val="24"/>
          <w:szCs w:val="24"/>
          <w:lang w:val="en-US"/>
        </w:rPr>
        <w:t>（以下简称箱式电源）</w:t>
      </w:r>
      <w:r>
        <w:rPr>
          <w:rFonts w:hint="eastAsia" w:ascii="宋体" w:hAnsi="宋体" w:eastAsia="宋体"/>
          <w:snapToGrid/>
          <w:kern w:val="2"/>
          <w:sz w:val="24"/>
          <w:szCs w:val="24"/>
          <w:lang w:val="en-US"/>
        </w:rPr>
        <w:t>作为船舶动力电源已经成为一种新趋势。</w:t>
      </w:r>
    </w:p>
    <w:p>
      <w:pPr>
        <w:spacing w:line="360" w:lineRule="auto"/>
        <w:ind w:firstLine="480" w:firstLineChars="200"/>
        <w:rPr>
          <w:rFonts w:hint="eastAsia"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采用箱式电源作为船舶动力的电动船舶</w:t>
      </w:r>
      <w:r>
        <w:rPr>
          <w:rFonts w:hint="eastAsia" w:ascii="宋体" w:hAnsi="宋体" w:eastAsia="宋体" w:cs="Times New Roman"/>
          <w:snapToGrid/>
          <w:kern w:val="2"/>
          <w:sz w:val="24"/>
          <w:szCs w:val="24"/>
          <w:lang w:val="en-US"/>
        </w:rPr>
        <w:t>在靠港时，将亏电的箱</w:t>
      </w:r>
      <w:r>
        <w:rPr>
          <w:rFonts w:hint="default" w:ascii="宋体" w:hAnsi="宋体" w:eastAsia="宋体" w:cs="Times New Roman"/>
          <w:snapToGrid/>
          <w:kern w:val="2"/>
          <w:sz w:val="24"/>
          <w:szCs w:val="24"/>
          <w:lang w:val="en-US"/>
        </w:rPr>
        <w:t>式电源吊装到港口的充电站进行充电或</w:t>
      </w:r>
      <w:r>
        <w:rPr>
          <w:rFonts w:hint="eastAsia" w:ascii="宋体" w:hAnsi="宋体" w:eastAsia="宋体" w:cs="Times New Roman"/>
          <w:snapToGrid/>
          <w:kern w:val="2"/>
          <w:sz w:val="24"/>
          <w:szCs w:val="24"/>
          <w:lang w:val="en-US"/>
        </w:rPr>
        <w:t>更换为预先充满电的箱</w:t>
      </w:r>
      <w:r>
        <w:rPr>
          <w:rFonts w:hint="default" w:ascii="宋体" w:hAnsi="宋体" w:eastAsia="宋体" w:cs="Times New Roman"/>
          <w:snapToGrid/>
          <w:kern w:val="2"/>
          <w:sz w:val="24"/>
          <w:szCs w:val="24"/>
          <w:lang w:val="en-US"/>
        </w:rPr>
        <w:t>式电源</w:t>
      </w:r>
      <w:r>
        <w:rPr>
          <w:rFonts w:hint="eastAsia" w:ascii="宋体" w:hAnsi="宋体" w:eastAsia="宋体" w:cs="Times New Roman"/>
          <w:snapToGrid/>
          <w:kern w:val="2"/>
          <w:sz w:val="24"/>
          <w:szCs w:val="24"/>
          <w:lang w:val="en-US"/>
        </w:rPr>
        <w:t>，是电池动力船舶补能的重要方式。在</w:t>
      </w:r>
      <w:r>
        <w:rPr>
          <w:rFonts w:hint="default" w:ascii="宋体" w:hAnsi="宋体" w:eastAsia="宋体" w:cs="Times New Roman"/>
          <w:snapToGrid/>
          <w:kern w:val="2"/>
          <w:sz w:val="24"/>
          <w:szCs w:val="24"/>
          <w:lang w:val="en-US"/>
        </w:rPr>
        <w:t>电池动力船舶</w:t>
      </w:r>
      <w:r>
        <w:rPr>
          <w:rFonts w:hint="eastAsia" w:ascii="宋体" w:hAnsi="宋体" w:eastAsia="宋体" w:cs="Times New Roman"/>
          <w:snapToGrid/>
          <w:kern w:val="2"/>
          <w:sz w:val="24"/>
          <w:szCs w:val="24"/>
          <w:lang w:val="en-US"/>
        </w:rPr>
        <w:t>使用过程中，需要</w:t>
      </w:r>
      <w:r>
        <w:rPr>
          <w:rFonts w:hint="default" w:ascii="宋体" w:hAnsi="宋体" w:eastAsia="宋体" w:cs="Times New Roman"/>
          <w:snapToGrid/>
          <w:kern w:val="2"/>
          <w:sz w:val="24"/>
          <w:szCs w:val="24"/>
          <w:lang w:val="en-US"/>
        </w:rPr>
        <w:t>将箱式电源的ID号、剩余</w:t>
      </w:r>
      <w:r>
        <w:rPr>
          <w:rFonts w:hint="eastAsia" w:ascii="宋体" w:hAnsi="宋体" w:eastAsia="宋体" w:cs="Times New Roman"/>
          <w:snapToGrid/>
          <w:kern w:val="2"/>
          <w:sz w:val="24"/>
          <w:szCs w:val="24"/>
          <w:lang w:val="en-US"/>
        </w:rPr>
        <w:t>电量</w:t>
      </w:r>
      <w:r>
        <w:rPr>
          <w:rFonts w:hint="default" w:ascii="宋体" w:hAnsi="宋体" w:eastAsia="宋体" w:cs="Times New Roman"/>
          <w:snapToGrid/>
          <w:kern w:val="2"/>
          <w:sz w:val="24"/>
          <w:szCs w:val="24"/>
          <w:lang w:val="en-US"/>
        </w:rPr>
        <w:t>（SOC）</w:t>
      </w:r>
      <w:r>
        <w:rPr>
          <w:rFonts w:hint="eastAsia" w:ascii="宋体" w:hAnsi="宋体" w:eastAsia="宋体" w:cs="Times New Roman"/>
          <w:snapToGrid/>
          <w:kern w:val="2"/>
          <w:sz w:val="24"/>
          <w:szCs w:val="24"/>
          <w:lang w:val="en-US"/>
        </w:rPr>
        <w:t>、</w:t>
      </w:r>
      <w:r>
        <w:rPr>
          <w:rFonts w:hint="default" w:ascii="宋体" w:hAnsi="宋体" w:eastAsia="宋体" w:cs="Times New Roman"/>
          <w:snapToGrid/>
          <w:kern w:val="2"/>
          <w:sz w:val="24"/>
          <w:szCs w:val="24"/>
          <w:lang w:val="en-US"/>
        </w:rPr>
        <w:t>健康度（SOH）、总</w:t>
      </w:r>
      <w:r>
        <w:rPr>
          <w:rFonts w:hint="eastAsia" w:ascii="宋体" w:hAnsi="宋体" w:eastAsia="宋体" w:cs="Times New Roman"/>
          <w:snapToGrid/>
          <w:kern w:val="2"/>
          <w:sz w:val="24"/>
          <w:szCs w:val="24"/>
          <w:lang w:val="en-US"/>
        </w:rPr>
        <w:t>电压、</w:t>
      </w:r>
      <w:r>
        <w:rPr>
          <w:rFonts w:hint="default" w:ascii="宋体" w:hAnsi="宋体" w:eastAsia="宋体" w:cs="Times New Roman"/>
          <w:snapToGrid/>
          <w:kern w:val="2"/>
          <w:sz w:val="24"/>
          <w:szCs w:val="24"/>
          <w:lang w:val="en-US"/>
        </w:rPr>
        <w:t>总</w:t>
      </w:r>
      <w:r>
        <w:rPr>
          <w:rFonts w:hint="eastAsia" w:ascii="宋体" w:hAnsi="宋体" w:eastAsia="宋体" w:cs="Times New Roman"/>
          <w:snapToGrid/>
          <w:kern w:val="2"/>
          <w:sz w:val="24"/>
          <w:szCs w:val="24"/>
          <w:lang w:val="en-US"/>
        </w:rPr>
        <w:t>电流、</w:t>
      </w:r>
      <w:r>
        <w:rPr>
          <w:rFonts w:hint="default" w:ascii="宋体" w:hAnsi="宋体" w:eastAsia="宋体" w:cs="Times New Roman"/>
          <w:snapToGrid/>
          <w:kern w:val="2"/>
          <w:sz w:val="24"/>
          <w:szCs w:val="24"/>
          <w:lang w:val="en-US"/>
        </w:rPr>
        <w:t>单体电芯的</w:t>
      </w:r>
      <w:r>
        <w:rPr>
          <w:rFonts w:hint="eastAsia" w:ascii="宋体" w:hAnsi="宋体" w:eastAsia="宋体" w:cs="Times New Roman"/>
          <w:snapToGrid/>
          <w:kern w:val="2"/>
          <w:sz w:val="24"/>
          <w:szCs w:val="24"/>
          <w:lang w:val="en-US"/>
        </w:rPr>
        <w:t>温度</w:t>
      </w:r>
      <w:r>
        <w:rPr>
          <w:rFonts w:hint="default" w:ascii="宋体" w:hAnsi="宋体" w:eastAsia="宋体" w:cs="Times New Roman"/>
          <w:snapToGrid/>
          <w:kern w:val="2"/>
          <w:sz w:val="24"/>
          <w:szCs w:val="24"/>
          <w:lang w:val="en-US"/>
        </w:rPr>
        <w:t>和电压</w:t>
      </w:r>
      <w:r>
        <w:rPr>
          <w:rFonts w:hint="eastAsia" w:ascii="宋体" w:hAnsi="宋体" w:eastAsia="宋体" w:cs="Times New Roman"/>
          <w:snapToGrid/>
          <w:kern w:val="2"/>
          <w:sz w:val="24"/>
          <w:szCs w:val="24"/>
          <w:lang w:val="en-US"/>
        </w:rPr>
        <w:t>等</w:t>
      </w:r>
      <w:r>
        <w:rPr>
          <w:rFonts w:hint="default" w:ascii="宋体" w:hAnsi="宋体" w:eastAsia="宋体" w:cs="Times New Roman"/>
          <w:snapToGrid/>
          <w:kern w:val="2"/>
          <w:sz w:val="24"/>
          <w:szCs w:val="24"/>
          <w:lang w:val="en-US"/>
        </w:rPr>
        <w:t>重要</w:t>
      </w:r>
      <w:r>
        <w:rPr>
          <w:rFonts w:hint="eastAsia" w:ascii="宋体" w:hAnsi="宋体" w:eastAsia="宋体" w:cs="Times New Roman"/>
          <w:snapToGrid/>
          <w:kern w:val="2"/>
          <w:sz w:val="24"/>
          <w:szCs w:val="24"/>
          <w:lang w:val="en-US"/>
        </w:rPr>
        <w:t>参数</w:t>
      </w:r>
      <w:r>
        <w:rPr>
          <w:rFonts w:hint="default" w:ascii="宋体" w:hAnsi="宋体" w:eastAsia="宋体" w:cs="Times New Roman"/>
          <w:snapToGrid/>
          <w:kern w:val="2"/>
          <w:sz w:val="24"/>
          <w:szCs w:val="24"/>
          <w:lang w:val="en-US"/>
        </w:rPr>
        <w:t>发送到能量管理系统</w:t>
      </w:r>
      <w:r>
        <w:rPr>
          <w:rFonts w:hint="eastAsia" w:ascii="宋体" w:hAnsi="宋体" w:eastAsia="宋体" w:cs="Times New Roman"/>
          <w:snapToGrid/>
          <w:kern w:val="2"/>
          <w:sz w:val="24"/>
          <w:szCs w:val="24"/>
          <w:lang w:val="en-US"/>
        </w:rPr>
        <w:t>。</w:t>
      </w:r>
      <w:r>
        <w:rPr>
          <w:rFonts w:hint="default" w:ascii="宋体" w:hAnsi="宋体" w:eastAsia="宋体" w:cs="Times New Roman"/>
          <w:snapToGrid/>
          <w:kern w:val="2"/>
          <w:sz w:val="24"/>
          <w:szCs w:val="24"/>
          <w:lang w:val="en-US"/>
        </w:rPr>
        <w:t>能量管理系统需要根据箱式电源</w:t>
      </w:r>
      <w:r>
        <w:rPr>
          <w:rFonts w:hint="eastAsia" w:ascii="宋体" w:hAnsi="宋体" w:eastAsia="宋体" w:cs="Times New Roman"/>
          <w:snapToGrid/>
          <w:kern w:val="2"/>
          <w:sz w:val="24"/>
          <w:szCs w:val="24"/>
          <w:lang w:val="en-US"/>
        </w:rPr>
        <w:t>的</w:t>
      </w:r>
      <w:r>
        <w:rPr>
          <w:rFonts w:hint="default" w:ascii="宋体" w:hAnsi="宋体" w:eastAsia="宋体" w:cs="Times New Roman"/>
          <w:snapToGrid/>
          <w:kern w:val="2"/>
          <w:sz w:val="24"/>
          <w:szCs w:val="24"/>
          <w:lang w:val="en-US"/>
        </w:rPr>
        <w:t>SOC等重要参数</w:t>
      </w:r>
      <w:r>
        <w:rPr>
          <w:rFonts w:hint="eastAsia" w:ascii="宋体" w:hAnsi="宋体" w:eastAsia="宋体" w:cs="Times New Roman"/>
          <w:snapToGrid/>
          <w:kern w:val="2"/>
          <w:sz w:val="24"/>
          <w:szCs w:val="24"/>
          <w:lang w:val="en-US"/>
        </w:rPr>
        <w:t>和换箱操作规程，动态选择应投入的箱式电源</w:t>
      </w:r>
      <w:r>
        <w:rPr>
          <w:rFonts w:hint="default" w:ascii="宋体" w:hAnsi="宋体" w:eastAsia="宋体" w:cs="Times New Roman"/>
          <w:snapToGrid/>
          <w:kern w:val="2"/>
          <w:sz w:val="24"/>
          <w:szCs w:val="24"/>
          <w:lang w:val="en-US"/>
        </w:rPr>
        <w:t>。在</w:t>
      </w:r>
      <w:r>
        <w:rPr>
          <w:rFonts w:hint="eastAsia" w:ascii="宋体" w:hAnsi="宋体" w:eastAsia="宋体" w:cs="Times New Roman"/>
          <w:snapToGrid/>
          <w:kern w:val="2"/>
          <w:sz w:val="24"/>
          <w:szCs w:val="24"/>
          <w:lang w:val="en-US"/>
        </w:rPr>
        <w:t>自动换箱时，应</w:t>
      </w:r>
      <w:r>
        <w:rPr>
          <w:rFonts w:hint="default" w:ascii="宋体" w:hAnsi="宋体" w:eastAsia="宋体" w:cs="Times New Roman"/>
          <w:snapToGrid/>
          <w:kern w:val="2"/>
          <w:sz w:val="24"/>
          <w:szCs w:val="24"/>
          <w:lang w:val="en-US"/>
        </w:rPr>
        <w:t>在人机界面上</w:t>
      </w:r>
      <w:r>
        <w:rPr>
          <w:rFonts w:hint="eastAsia" w:ascii="宋体" w:hAnsi="宋体" w:eastAsia="宋体" w:cs="Times New Roman"/>
          <w:snapToGrid/>
          <w:kern w:val="2"/>
          <w:sz w:val="24"/>
          <w:szCs w:val="24"/>
          <w:lang w:val="en-US"/>
        </w:rPr>
        <w:t>先给出确认换箱的提示，确认</w:t>
      </w:r>
      <w:r>
        <w:rPr>
          <w:rFonts w:hint="default" w:ascii="宋体" w:hAnsi="宋体" w:eastAsia="宋体" w:cs="Times New Roman"/>
          <w:snapToGrid/>
          <w:kern w:val="2"/>
          <w:sz w:val="24"/>
          <w:szCs w:val="24"/>
          <w:lang w:val="en-US"/>
        </w:rPr>
        <w:t>换箱</w:t>
      </w:r>
      <w:r>
        <w:rPr>
          <w:rFonts w:hint="eastAsia" w:ascii="宋体" w:hAnsi="宋体" w:eastAsia="宋体" w:cs="Times New Roman"/>
          <w:snapToGrid/>
          <w:kern w:val="2"/>
          <w:sz w:val="24"/>
          <w:szCs w:val="24"/>
          <w:lang w:val="en-US"/>
        </w:rPr>
        <w:t>后，再执行自动换箱操作。，</w:t>
      </w:r>
      <w:r>
        <w:rPr>
          <w:rFonts w:hint="default" w:ascii="宋体" w:hAnsi="宋体" w:eastAsia="宋体" w:cs="Times New Roman"/>
          <w:snapToGrid/>
          <w:kern w:val="2"/>
          <w:sz w:val="24"/>
          <w:szCs w:val="24"/>
          <w:lang w:val="en-US"/>
        </w:rPr>
        <w:t>在直流电力</w:t>
      </w:r>
      <w:r>
        <w:rPr>
          <w:rFonts w:hint="eastAsia" w:ascii="宋体" w:hAnsi="宋体" w:eastAsia="宋体" w:cs="Times New Roman"/>
          <w:snapToGrid/>
          <w:kern w:val="2"/>
          <w:sz w:val="24"/>
          <w:szCs w:val="24"/>
          <w:lang w:val="en-US"/>
        </w:rPr>
        <w:t>系统供电能力</w:t>
      </w:r>
      <w:r>
        <w:rPr>
          <w:rFonts w:hint="default" w:ascii="宋体" w:hAnsi="宋体" w:eastAsia="宋体" w:cs="Times New Roman"/>
          <w:snapToGrid/>
          <w:kern w:val="2"/>
          <w:sz w:val="24"/>
          <w:szCs w:val="24"/>
          <w:lang w:val="en-US"/>
        </w:rPr>
        <w:t>不足的情况下</w:t>
      </w:r>
      <w:r>
        <w:rPr>
          <w:rFonts w:hint="eastAsia" w:ascii="宋体" w:hAnsi="宋体" w:eastAsia="宋体" w:cs="Times New Roman"/>
          <w:snapToGrid/>
          <w:kern w:val="2"/>
          <w:sz w:val="24"/>
          <w:szCs w:val="24"/>
          <w:lang w:val="en-US"/>
        </w:rPr>
        <w:t>，</w:t>
      </w:r>
      <w:r>
        <w:rPr>
          <w:rFonts w:hint="default" w:ascii="宋体" w:hAnsi="宋体" w:eastAsia="宋体" w:cs="Times New Roman"/>
          <w:snapToGrid/>
          <w:kern w:val="2"/>
          <w:sz w:val="24"/>
          <w:szCs w:val="24"/>
          <w:lang w:val="en-US"/>
        </w:rPr>
        <w:t>能量管理系统还应</w:t>
      </w:r>
      <w:r>
        <w:rPr>
          <w:rFonts w:hint="eastAsia" w:ascii="宋体" w:hAnsi="宋体" w:eastAsia="宋体" w:cs="Times New Roman"/>
          <w:snapToGrid/>
          <w:kern w:val="2"/>
          <w:sz w:val="24"/>
          <w:szCs w:val="24"/>
          <w:lang w:val="en-US"/>
        </w:rPr>
        <w:t>对</w:t>
      </w:r>
      <w:r>
        <w:rPr>
          <w:rFonts w:hint="default" w:ascii="宋体" w:hAnsi="宋体" w:eastAsia="宋体" w:cs="Times New Roman"/>
          <w:snapToGrid/>
          <w:kern w:val="2"/>
          <w:sz w:val="24"/>
          <w:szCs w:val="24"/>
          <w:lang w:val="en-US"/>
        </w:rPr>
        <w:t>主</w:t>
      </w:r>
      <w:r>
        <w:rPr>
          <w:rFonts w:hint="eastAsia" w:ascii="宋体" w:hAnsi="宋体" w:eastAsia="宋体" w:cs="Times New Roman"/>
          <w:snapToGrid/>
          <w:kern w:val="2"/>
          <w:sz w:val="24"/>
          <w:szCs w:val="24"/>
          <w:lang w:val="en-US"/>
        </w:rPr>
        <w:t>推进</w:t>
      </w:r>
      <w:r>
        <w:rPr>
          <w:rFonts w:hint="default" w:ascii="宋体" w:hAnsi="宋体" w:eastAsia="宋体" w:cs="Times New Roman"/>
          <w:snapToGrid/>
          <w:kern w:val="2"/>
          <w:sz w:val="24"/>
          <w:szCs w:val="24"/>
          <w:lang w:val="en-US"/>
        </w:rPr>
        <w:t>等大功率用电</w:t>
      </w:r>
      <w:r>
        <w:rPr>
          <w:rFonts w:hint="eastAsia" w:ascii="宋体" w:hAnsi="宋体" w:eastAsia="宋体" w:cs="Times New Roman"/>
          <w:snapToGrid/>
          <w:kern w:val="2"/>
          <w:sz w:val="24"/>
          <w:szCs w:val="24"/>
          <w:lang w:val="en-US"/>
        </w:rPr>
        <w:t>设备进行功率限制。</w:t>
      </w:r>
    </w:p>
    <w:p>
      <w:pPr>
        <w:spacing w:line="360" w:lineRule="auto"/>
        <w:ind w:firstLine="480" w:firstLineChars="200"/>
        <w:rPr>
          <w:rFonts w:hint="default"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虽然</w:t>
      </w:r>
      <w:r>
        <w:rPr>
          <w:rFonts w:hint="eastAsia" w:ascii="宋体" w:hAnsi="宋体" w:eastAsia="宋体" w:cs="Times New Roman"/>
          <w:snapToGrid/>
          <w:kern w:val="2"/>
          <w:sz w:val="24"/>
          <w:szCs w:val="24"/>
          <w:lang w:val="en-US"/>
        </w:rPr>
        <w:t>面向国内外航运法规的新要求，船舶绿色化成为大势所趋</w:t>
      </w:r>
      <w:r>
        <w:rPr>
          <w:rFonts w:hint="default" w:ascii="宋体" w:hAnsi="宋体" w:eastAsia="宋体" w:cs="Times New Roman"/>
          <w:snapToGrid/>
          <w:kern w:val="2"/>
          <w:sz w:val="24"/>
          <w:szCs w:val="24"/>
          <w:lang w:val="en-US"/>
        </w:rPr>
        <w:t>，但是</w:t>
      </w:r>
      <w:r>
        <w:rPr>
          <w:rFonts w:hint="eastAsia" w:ascii="宋体" w:hAnsi="宋体" w:eastAsia="宋体" w:cs="Times New Roman"/>
          <w:snapToGrid/>
          <w:kern w:val="2"/>
          <w:sz w:val="24"/>
          <w:szCs w:val="24"/>
          <w:lang w:val="en-US"/>
        </w:rPr>
        <w:t>电动船舶产业链</w:t>
      </w:r>
      <w:r>
        <w:rPr>
          <w:rFonts w:hint="default" w:ascii="宋体" w:hAnsi="宋体" w:eastAsia="宋体" w:cs="Times New Roman"/>
          <w:snapToGrid/>
          <w:kern w:val="2"/>
          <w:sz w:val="24"/>
          <w:szCs w:val="24"/>
          <w:lang w:val="en-US"/>
        </w:rPr>
        <w:t>尚</w:t>
      </w:r>
      <w:r>
        <w:rPr>
          <w:rFonts w:hint="eastAsia" w:ascii="宋体" w:hAnsi="宋体" w:eastAsia="宋体" w:cs="Times New Roman"/>
          <w:snapToGrid/>
          <w:kern w:val="2"/>
          <w:sz w:val="24"/>
          <w:szCs w:val="24"/>
          <w:lang w:val="en-US"/>
        </w:rPr>
        <w:t>处于起步阶段，电动船舶领域船舶设计建造及相关配套设施建设缺乏依据，相关产品标准不统一，产品互不兼容。</w:t>
      </w:r>
      <w:r>
        <w:rPr>
          <w:rFonts w:hint="default" w:ascii="宋体" w:hAnsi="宋体" w:eastAsia="宋体" w:cs="Times New Roman"/>
          <w:snapToGrid/>
          <w:kern w:val="2"/>
          <w:sz w:val="24"/>
          <w:szCs w:val="24"/>
          <w:lang w:val="en-US"/>
        </w:rPr>
        <w:t>中远海运集团自筹经费，开展</w:t>
      </w:r>
      <w:r>
        <w:rPr>
          <w:rFonts w:hint="eastAsia" w:ascii="宋体" w:hAnsi="宋体" w:eastAsia="宋体" w:cs="Times New Roman"/>
          <w:snapToGrid/>
          <w:kern w:val="2"/>
          <w:sz w:val="24"/>
          <w:szCs w:val="24"/>
          <w:lang w:val="en-US"/>
        </w:rPr>
        <w:t>电动船舶标准体系研究，形成一套电动船舶标准体系</w:t>
      </w:r>
      <w:r>
        <w:rPr>
          <w:rFonts w:hint="default" w:ascii="宋体" w:hAnsi="宋体" w:eastAsia="宋体" w:cs="Times New Roman"/>
          <w:snapToGrid/>
          <w:kern w:val="2"/>
          <w:sz w:val="24"/>
          <w:szCs w:val="24"/>
          <w:lang w:val="en-US"/>
        </w:rPr>
        <w:t>，</w:t>
      </w:r>
      <w:r>
        <w:rPr>
          <w:rFonts w:hint="eastAsia" w:ascii="宋体" w:hAnsi="宋体" w:eastAsia="宋体" w:cs="Times New Roman"/>
          <w:snapToGrid/>
          <w:kern w:val="2"/>
          <w:sz w:val="24"/>
          <w:szCs w:val="24"/>
          <w:lang w:val="en-US"/>
        </w:rPr>
        <w:t>助力电动船舶产业快速发展。</w:t>
      </w:r>
      <w:r>
        <w:rPr>
          <w:rFonts w:hint="default" w:ascii="宋体" w:hAnsi="宋体" w:eastAsia="宋体" w:cs="Times New Roman"/>
          <w:snapToGrid/>
          <w:kern w:val="2"/>
          <w:sz w:val="24"/>
          <w:szCs w:val="24"/>
          <w:lang w:val="en-US"/>
        </w:rPr>
        <w:t>电池动力船舶能量管理系统技术要求是该标准体系中的一项团体标准，</w:t>
      </w:r>
      <w:r>
        <w:rPr>
          <w:rFonts w:hint="eastAsia" w:ascii="宋体" w:hAnsi="宋体" w:eastAsia="宋体" w:cs="Times New Roman"/>
          <w:snapToGrid/>
          <w:kern w:val="2"/>
          <w:sz w:val="24"/>
          <w:szCs w:val="24"/>
          <w:lang w:val="en-US"/>
        </w:rPr>
        <w:t>根据</w:t>
      </w:r>
      <w:r>
        <w:rPr>
          <w:rFonts w:hint="default" w:ascii="宋体" w:hAnsi="宋体" w:eastAsia="宋体" w:cs="Times New Roman"/>
          <w:snapToGrid/>
          <w:kern w:val="2"/>
          <w:sz w:val="24"/>
          <w:szCs w:val="24"/>
          <w:lang w:val="en-US"/>
        </w:rPr>
        <w:t>目前电池动力船舶产业链的</w:t>
      </w:r>
      <w:r>
        <w:rPr>
          <w:rFonts w:hint="eastAsia" w:ascii="宋体" w:hAnsi="宋体" w:eastAsia="宋体" w:cs="Times New Roman"/>
          <w:snapToGrid/>
          <w:kern w:val="2"/>
          <w:sz w:val="24"/>
          <w:szCs w:val="24"/>
          <w:lang w:val="en-US"/>
        </w:rPr>
        <w:t>紧迫性、急需性和必要性，</w:t>
      </w:r>
      <w:r>
        <w:rPr>
          <w:rFonts w:hint="default" w:ascii="宋体" w:hAnsi="宋体" w:eastAsia="宋体" w:cs="Times New Roman"/>
          <w:snapToGrid/>
          <w:kern w:val="2"/>
          <w:sz w:val="24"/>
          <w:szCs w:val="24"/>
          <w:lang w:val="en-US"/>
        </w:rPr>
        <w:t>上海船舶运输科学研究所有限公司组建团体标准编制团队，在中国造船工程学会标准化委员会的指导下，开展电池动力船舶能量管理系统技术要求草案的编制工作。</w:t>
      </w:r>
    </w:p>
    <w:p>
      <w:pPr>
        <w:spacing w:line="360" w:lineRule="auto"/>
        <w:ind w:firstLine="480" w:firstLineChars="200"/>
        <w:rPr>
          <w:rFonts w:hint="default"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电池动力船舶能量管理系统技术要求起草单位是上海船舶运输科学研究所有限公司，共同参与编制标准草案的协作单位有扬州中远海运重工有限公司、中远海运发展股份有限公司、中国船级社武汉分社、中远海运重工有限公司、绿水新航科技有限公司、</w:t>
      </w:r>
      <w:r>
        <w:rPr>
          <w:rFonts w:hint="eastAsia" w:ascii="宋体" w:hAnsi="宋体" w:eastAsia="宋体" w:cs="Times New Roman"/>
          <w:snapToGrid/>
          <w:kern w:val="2"/>
          <w:sz w:val="24"/>
          <w:szCs w:val="24"/>
          <w:lang w:val="en-US"/>
        </w:rPr>
        <w:t>中国船舶集团有限公司第七一二研究所</w:t>
      </w:r>
      <w:r>
        <w:rPr>
          <w:rFonts w:hint="default" w:ascii="宋体" w:hAnsi="宋体" w:eastAsia="宋体" w:cs="Times New Roman"/>
          <w:snapToGrid/>
          <w:kern w:val="2"/>
          <w:sz w:val="24"/>
          <w:szCs w:val="24"/>
          <w:lang w:val="en-US"/>
        </w:rPr>
        <w:t>。编制时间：2024年3月-2024年7月。</w:t>
      </w:r>
    </w:p>
    <w:p>
      <w:pPr>
        <w:numPr>
          <w:ilvl w:val="0"/>
          <w:numId w:val="3"/>
        </w:numPr>
        <w:spacing w:line="360" w:lineRule="auto"/>
        <w:jc w:val="left"/>
        <w:rPr>
          <w:rFonts w:hint="eastAsia" w:ascii="宋体" w:hAnsi="宋体" w:eastAsia="宋体"/>
          <w:b/>
          <w:sz w:val="24"/>
        </w:rPr>
      </w:pPr>
      <w:r>
        <w:rPr>
          <w:rFonts w:hint="eastAsia" w:ascii="宋体" w:hAnsi="宋体" w:eastAsia="宋体"/>
          <w:b/>
          <w:sz w:val="24"/>
        </w:rPr>
        <w:t>标准的研究、起草过程</w:t>
      </w:r>
    </w:p>
    <w:p>
      <w:pPr>
        <w:numPr>
          <w:numId w:val="0"/>
        </w:numPr>
        <w:spacing w:line="360" w:lineRule="auto"/>
        <w:jc w:val="left"/>
        <w:rPr>
          <w:rFonts w:hint="default" w:ascii="宋体" w:hAnsi="宋体" w:eastAsia="宋体"/>
          <w:b/>
          <w:sz w:val="24"/>
          <w:lang w:val="en-US"/>
        </w:rPr>
      </w:pPr>
      <w:r>
        <w:rPr>
          <w:rFonts w:hint="default" w:ascii="宋体" w:hAnsi="宋体" w:eastAsia="宋体"/>
          <w:b/>
          <w:sz w:val="24"/>
          <w:lang w:val="en-US"/>
        </w:rPr>
        <w:t>标准的研究过程：</w:t>
      </w:r>
    </w:p>
    <w:p>
      <w:pPr>
        <w:spacing w:line="360" w:lineRule="auto"/>
        <w:ind w:firstLine="480" w:firstLineChars="200"/>
        <w:rPr>
          <w:rFonts w:hint="eastAsia"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2023年上海船舶运输科学研究所有限公司参与某部委长江干线示范船研制项目，负责</w:t>
      </w:r>
      <w:r>
        <w:rPr>
          <w:rFonts w:hint="eastAsia" w:ascii="宋体" w:hAnsi="宋体" w:eastAsia="宋体" w:cs="Times New Roman"/>
          <w:snapToGrid/>
          <w:kern w:val="2"/>
          <w:sz w:val="24"/>
          <w:szCs w:val="24"/>
          <w:lang w:val="en-US"/>
        </w:rPr>
        <w:t>基于超大容量电池的船舶能量管理技术研究及样机研制</w:t>
      </w:r>
      <w:r>
        <w:rPr>
          <w:rFonts w:hint="default" w:ascii="宋体" w:hAnsi="宋体" w:eastAsia="宋体" w:cs="Times New Roman"/>
          <w:snapToGrid/>
          <w:kern w:val="2"/>
          <w:sz w:val="24"/>
          <w:szCs w:val="24"/>
          <w:lang w:val="en-US"/>
        </w:rPr>
        <w:t>任务，该科研项目要求能量管理系统工程样机在中远海运集团投资建造的700TEU大容量纯电池动力集装箱船上进行工程示范。上海船舶运输科学研究所有限公司</w:t>
      </w:r>
      <w:r>
        <w:rPr>
          <w:rFonts w:hint="eastAsia" w:ascii="宋体" w:hAnsi="宋体" w:eastAsia="宋体" w:cs="Times New Roman"/>
          <w:snapToGrid/>
          <w:kern w:val="2"/>
          <w:sz w:val="24"/>
          <w:szCs w:val="24"/>
          <w:lang w:val="en-US"/>
        </w:rPr>
        <w:t>根据超大容量纯电池动力船直流配电板拓扑结构，开展能量管理系统设计工作。对船舶能量管理系统的系统组成、网络架构、功能性能、软/硬件接口等进行设计，研制能量管理系统样机。为了实现以大容量电池为主要储能介质的全船电力系统可靠、高效运转，需要针对大容量电池储能系统优化运行控制模型及控制算法展开研究。研究并建立大容量锂电池系统的阵列式换电优化控制算法，以实现大容量锂电池在放电运行过程中的优化运行控制。结合各电池组的SOC以及温升等物理因素，开展超大容量纯电池动力船舶电力网络供电能力计算分析，开展负荷动态特性分析。能量管理系统与在网的箱式电源BMS进行通讯，获取箱式电源的放电电流，然后计算出箱式电源平均放电电流和放电电流的不均衡度（百分比小于5%），通过直流配电板对箱式电源协调控制，使在网的各箱式电源能够均衡、高效率运行，以达到最大的经济性和可持续性，满足电力系统的安全性和经济性要求。</w:t>
      </w:r>
    </w:p>
    <w:p>
      <w:pPr>
        <w:spacing w:line="360" w:lineRule="auto"/>
        <w:ind w:firstLine="480" w:firstLineChars="200"/>
        <w:rPr>
          <w:rFonts w:hint="default"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2023年10月700TEU大容量纯电池动力集装箱船完成了系泊和航行试验，能量管理系统通过了船级社及船东的验收，各项功能及指标情况达到要求。</w:t>
      </w:r>
    </w:p>
    <w:p>
      <w:pPr>
        <w:numPr>
          <w:ilvl w:val="0"/>
          <w:numId w:val="0"/>
        </w:numPr>
        <w:spacing w:line="360" w:lineRule="auto"/>
        <w:jc w:val="left"/>
        <w:rPr>
          <w:rFonts w:hint="default" w:ascii="宋体" w:hAnsi="宋体" w:eastAsia="宋体" w:cs="Times New Roman"/>
          <w:b/>
          <w:sz w:val="24"/>
          <w:lang w:val="en-US"/>
        </w:rPr>
      </w:pPr>
      <w:r>
        <w:rPr>
          <w:rFonts w:hint="default" w:ascii="宋体" w:hAnsi="宋体" w:eastAsia="宋体" w:cs="Times New Roman"/>
          <w:b/>
          <w:sz w:val="24"/>
          <w:lang w:val="en-US"/>
        </w:rPr>
        <w:t>标准的起草过程：</w:t>
      </w:r>
    </w:p>
    <w:p>
      <w:pPr>
        <w:spacing w:line="360" w:lineRule="auto"/>
        <w:ind w:firstLine="480" w:firstLineChars="200"/>
        <w:rPr>
          <w:rFonts w:hint="eastAsia" w:ascii="宋体" w:hAnsi="宋体" w:eastAsia="宋体" w:cs="Times New Roman"/>
          <w:snapToGrid/>
          <w:kern w:val="2"/>
          <w:sz w:val="24"/>
          <w:szCs w:val="24"/>
          <w:lang w:val="en-US"/>
        </w:rPr>
      </w:pPr>
      <w:bookmarkStart w:id="0" w:name="_Toc157227062"/>
      <w:bookmarkStart w:id="1" w:name="_Toc112412926"/>
      <w:r>
        <w:rPr>
          <w:rFonts w:hint="eastAsia" w:ascii="宋体" w:hAnsi="宋体" w:eastAsia="宋体" w:cs="Times New Roman"/>
          <w:snapToGrid/>
          <w:kern w:val="2"/>
          <w:sz w:val="24"/>
          <w:szCs w:val="24"/>
          <w:lang w:val="en-US"/>
        </w:rPr>
        <w:t>（1）资料收集和整理</w:t>
      </w:r>
      <w:bookmarkEnd w:id="0"/>
      <w:bookmarkEnd w:id="1"/>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任务下达以后，标准编制组人员进行了相关调研和资料收集，主要收集和分析的材料包括：</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GB/T 1.1-2020《标准化工作导则 第1部分：标准化文件的结构和起草规则》；</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中国船级社 《钢质海船入级规范》</w:t>
      </w:r>
      <w:r>
        <w:rPr>
          <w:rFonts w:hint="default" w:ascii="宋体" w:hAnsi="宋体" w:eastAsia="宋体" w:cs="Times New Roman"/>
          <w:snapToGrid/>
          <w:kern w:val="2"/>
          <w:sz w:val="24"/>
          <w:szCs w:val="24"/>
          <w:lang w:val="en-US"/>
        </w:rPr>
        <w:t>；</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中国船级社 《船舶应用电池动力规范》</w:t>
      </w:r>
      <w:r>
        <w:rPr>
          <w:rFonts w:hint="default" w:ascii="宋体" w:hAnsi="宋体" w:eastAsia="宋体" w:cs="Times New Roman"/>
          <w:snapToGrid/>
          <w:kern w:val="2"/>
          <w:sz w:val="24"/>
          <w:szCs w:val="24"/>
          <w:lang w:val="en-US"/>
        </w:rPr>
        <w:t>；</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中国船级社 《电气电子产品型式认可试验指南》</w:t>
      </w:r>
      <w:r>
        <w:rPr>
          <w:rFonts w:hint="default" w:ascii="宋体" w:hAnsi="宋体" w:eastAsia="宋体" w:cs="Times New Roman"/>
          <w:snapToGrid/>
          <w:kern w:val="2"/>
          <w:sz w:val="24"/>
          <w:szCs w:val="24"/>
          <w:lang w:val="en-US"/>
        </w:rPr>
        <w:t>。</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根据收集到的资料和有关建议，主编单位起草了“</w:t>
      </w:r>
      <w:r>
        <w:rPr>
          <w:rFonts w:hint="default" w:ascii="宋体" w:hAnsi="宋体" w:eastAsia="宋体" w:cs="Times New Roman"/>
          <w:snapToGrid/>
          <w:kern w:val="2"/>
          <w:sz w:val="24"/>
          <w:szCs w:val="24"/>
          <w:lang w:val="en-US"/>
        </w:rPr>
        <w:t>电池动力船舶能量管理系统技术要求</w:t>
      </w:r>
      <w:r>
        <w:rPr>
          <w:rFonts w:hint="eastAsia" w:ascii="宋体" w:hAnsi="宋体" w:eastAsia="宋体" w:cs="Times New Roman"/>
          <w:snapToGrid/>
          <w:kern w:val="2"/>
          <w:sz w:val="24"/>
          <w:szCs w:val="24"/>
          <w:lang w:val="en-US"/>
        </w:rPr>
        <w:t>”</w:t>
      </w:r>
      <w:r>
        <w:rPr>
          <w:rFonts w:hint="default" w:ascii="宋体" w:hAnsi="宋体" w:eastAsia="宋体" w:cs="Times New Roman"/>
          <w:snapToGrid/>
          <w:kern w:val="2"/>
          <w:sz w:val="24"/>
          <w:szCs w:val="24"/>
          <w:lang w:val="en-US"/>
        </w:rPr>
        <w:t>草案</w:t>
      </w:r>
      <w:r>
        <w:rPr>
          <w:rFonts w:hint="eastAsia" w:ascii="宋体" w:hAnsi="宋体" w:eastAsia="宋体" w:cs="Times New Roman"/>
          <w:snapToGrid/>
          <w:kern w:val="2"/>
          <w:sz w:val="24"/>
          <w:szCs w:val="24"/>
          <w:lang w:val="en-US"/>
        </w:rPr>
        <w:t>。</w:t>
      </w:r>
    </w:p>
    <w:p>
      <w:pPr>
        <w:spacing w:line="360" w:lineRule="auto"/>
        <w:ind w:firstLine="480" w:firstLineChars="200"/>
        <w:rPr>
          <w:rFonts w:hint="eastAsia" w:ascii="宋体" w:hAnsi="宋体" w:eastAsia="宋体" w:cs="Times New Roman"/>
          <w:snapToGrid/>
          <w:kern w:val="2"/>
          <w:sz w:val="24"/>
          <w:szCs w:val="24"/>
          <w:lang w:val="en-US"/>
        </w:rPr>
      </w:pPr>
      <w:bookmarkStart w:id="2" w:name="_Toc157227063"/>
      <w:bookmarkStart w:id="3" w:name="_Toc112412927"/>
      <w:r>
        <w:rPr>
          <w:rFonts w:hint="eastAsia" w:ascii="宋体" w:hAnsi="宋体" w:eastAsia="宋体" w:cs="Times New Roman"/>
          <w:snapToGrid/>
          <w:kern w:val="2"/>
          <w:sz w:val="24"/>
          <w:szCs w:val="24"/>
          <w:lang w:val="en-US"/>
        </w:rPr>
        <w:t>（2）参加标准</w:t>
      </w:r>
      <w:bookmarkEnd w:id="2"/>
      <w:r>
        <w:rPr>
          <w:rFonts w:hint="eastAsia" w:ascii="宋体" w:hAnsi="宋体" w:eastAsia="宋体" w:cs="Times New Roman"/>
          <w:snapToGrid/>
          <w:kern w:val="2"/>
          <w:sz w:val="24"/>
          <w:szCs w:val="24"/>
          <w:lang w:val="en-US"/>
        </w:rPr>
        <w:t>编制工作研讨会</w:t>
      </w:r>
      <w:bookmarkEnd w:id="3"/>
    </w:p>
    <w:p>
      <w:pPr>
        <w:spacing w:line="360" w:lineRule="auto"/>
        <w:ind w:firstLine="480" w:firstLineChars="200"/>
        <w:rPr>
          <w:rFonts w:hint="default"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编制组于202</w:t>
      </w:r>
      <w:r>
        <w:rPr>
          <w:rFonts w:hint="default" w:ascii="宋体" w:hAnsi="宋体" w:eastAsia="宋体" w:cs="Times New Roman"/>
          <w:snapToGrid/>
          <w:kern w:val="2"/>
          <w:sz w:val="24"/>
          <w:szCs w:val="24"/>
          <w:lang w:val="en-US"/>
        </w:rPr>
        <w:t>4</w:t>
      </w:r>
      <w:r>
        <w:rPr>
          <w:rFonts w:hint="eastAsia" w:ascii="宋体" w:hAnsi="宋体" w:eastAsia="宋体" w:cs="Times New Roman"/>
          <w:snapToGrid/>
          <w:kern w:val="2"/>
          <w:sz w:val="24"/>
          <w:szCs w:val="24"/>
          <w:lang w:val="en-US"/>
        </w:rPr>
        <w:t>年</w:t>
      </w:r>
      <w:r>
        <w:rPr>
          <w:rFonts w:hint="default" w:ascii="宋体" w:hAnsi="宋体" w:eastAsia="宋体" w:cs="Times New Roman"/>
          <w:snapToGrid/>
          <w:kern w:val="2"/>
          <w:sz w:val="24"/>
          <w:szCs w:val="24"/>
          <w:lang w:val="en-US"/>
        </w:rPr>
        <w:t>6</w:t>
      </w:r>
      <w:r>
        <w:rPr>
          <w:rFonts w:hint="eastAsia" w:ascii="宋体" w:hAnsi="宋体" w:eastAsia="宋体" w:cs="Times New Roman"/>
          <w:snapToGrid/>
          <w:kern w:val="2"/>
          <w:sz w:val="24"/>
          <w:szCs w:val="24"/>
          <w:lang w:val="en-US"/>
        </w:rPr>
        <w:t>月</w:t>
      </w:r>
      <w:r>
        <w:rPr>
          <w:rFonts w:hint="default" w:ascii="宋体" w:hAnsi="宋体" w:eastAsia="宋体" w:cs="Times New Roman"/>
          <w:snapToGrid/>
          <w:kern w:val="2"/>
          <w:sz w:val="24"/>
          <w:szCs w:val="24"/>
          <w:lang w:val="en-US"/>
        </w:rPr>
        <w:t>与中国造船工程学会标准化委员会进行标准立项工作汇报</w:t>
      </w:r>
      <w:r>
        <w:rPr>
          <w:rFonts w:hint="eastAsia" w:ascii="宋体" w:hAnsi="宋体" w:eastAsia="宋体" w:cs="Times New Roman"/>
          <w:snapToGrid/>
          <w:kern w:val="2"/>
          <w:sz w:val="24"/>
          <w:szCs w:val="24"/>
          <w:lang w:val="en-US"/>
        </w:rPr>
        <w:t>，</w:t>
      </w:r>
      <w:r>
        <w:rPr>
          <w:rFonts w:hint="default" w:ascii="宋体" w:hAnsi="宋体" w:eastAsia="宋体" w:cs="Times New Roman"/>
          <w:snapToGrid/>
          <w:kern w:val="2"/>
          <w:sz w:val="24"/>
          <w:szCs w:val="24"/>
          <w:lang w:val="en-US"/>
        </w:rPr>
        <w:t>标委会进行了标准查重工作</w:t>
      </w:r>
      <w:r>
        <w:rPr>
          <w:rFonts w:hint="eastAsia" w:ascii="宋体" w:hAnsi="宋体" w:eastAsia="宋体" w:cs="Times New Roman"/>
          <w:snapToGrid/>
          <w:kern w:val="2"/>
          <w:sz w:val="24"/>
          <w:szCs w:val="24"/>
          <w:lang w:val="en-US"/>
        </w:rPr>
        <w:t>。编制组于202</w:t>
      </w:r>
      <w:r>
        <w:rPr>
          <w:rFonts w:hint="default" w:ascii="宋体" w:hAnsi="宋体" w:eastAsia="宋体" w:cs="Times New Roman"/>
          <w:snapToGrid/>
          <w:kern w:val="2"/>
          <w:sz w:val="24"/>
          <w:szCs w:val="24"/>
          <w:lang w:val="en-US"/>
        </w:rPr>
        <w:t>4</w:t>
      </w:r>
      <w:r>
        <w:rPr>
          <w:rFonts w:hint="eastAsia" w:ascii="宋体" w:hAnsi="宋体" w:eastAsia="宋体" w:cs="Times New Roman"/>
          <w:snapToGrid/>
          <w:kern w:val="2"/>
          <w:sz w:val="24"/>
          <w:szCs w:val="24"/>
          <w:lang w:val="en-US"/>
        </w:rPr>
        <w:t>年</w:t>
      </w:r>
      <w:r>
        <w:rPr>
          <w:rFonts w:hint="default" w:ascii="宋体" w:hAnsi="宋体" w:eastAsia="宋体" w:cs="Times New Roman"/>
          <w:snapToGrid/>
          <w:kern w:val="2"/>
          <w:sz w:val="24"/>
          <w:szCs w:val="24"/>
          <w:lang w:val="en-US"/>
        </w:rPr>
        <w:t>7</w:t>
      </w:r>
      <w:r>
        <w:rPr>
          <w:rFonts w:hint="eastAsia" w:ascii="宋体" w:hAnsi="宋体" w:eastAsia="宋体" w:cs="Times New Roman"/>
          <w:snapToGrid/>
          <w:kern w:val="2"/>
          <w:sz w:val="24"/>
          <w:szCs w:val="24"/>
          <w:lang w:val="en-US"/>
        </w:rPr>
        <w:t>月</w:t>
      </w:r>
      <w:r>
        <w:rPr>
          <w:rFonts w:hint="default" w:ascii="宋体" w:hAnsi="宋体" w:eastAsia="宋体" w:cs="Times New Roman"/>
          <w:snapToGrid/>
          <w:kern w:val="2"/>
          <w:sz w:val="24"/>
          <w:szCs w:val="24"/>
          <w:lang w:val="en-US"/>
        </w:rPr>
        <w:t>提交了标准草案和立项申请，根据标准会的形式审查意见对草案进行了首次修改。目前根据专家的函审意见对标准进行修改完善。</w:t>
      </w:r>
    </w:p>
    <w:p>
      <w:pPr>
        <w:spacing w:line="360" w:lineRule="auto"/>
        <w:rPr>
          <w:rFonts w:hAnsiTheme="minorEastAsia"/>
          <w:b/>
          <w:sz w:val="24"/>
        </w:rPr>
      </w:pPr>
      <w:r>
        <w:rPr>
          <w:rFonts w:hint="eastAsia" w:hAnsiTheme="minorEastAsia"/>
          <w:b/>
          <w:sz w:val="24"/>
        </w:rPr>
        <w:t>二、标准编制原则及主要技术内容</w:t>
      </w:r>
    </w:p>
    <w:p>
      <w:pPr>
        <w:spacing w:line="360" w:lineRule="auto"/>
        <w:jc w:val="left"/>
        <w:rPr>
          <w:rFonts w:ascii="宋体" w:hAnsi="宋体"/>
          <w:b/>
          <w:sz w:val="24"/>
        </w:rPr>
      </w:pPr>
      <w:r>
        <w:rPr>
          <w:rFonts w:hint="eastAsia" w:ascii="宋体" w:hAnsi="宋体" w:eastAsia="宋体"/>
          <w:b/>
          <w:sz w:val="24"/>
        </w:rPr>
        <w:t>（一）</w:t>
      </w:r>
      <w:r>
        <w:rPr>
          <w:rFonts w:hint="eastAsia" w:ascii="宋体" w:hAnsi="宋体"/>
          <w:b/>
          <w:sz w:val="24"/>
        </w:rPr>
        <w:t>编制原则</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根据以上所述的总体思路，本标准的编制原则为：</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本标准的编制工作遵循“先进性、科学性、规范性、协调性、适用性”的原则，将</w:t>
      </w:r>
      <w:r>
        <w:rPr>
          <w:rFonts w:hint="default" w:ascii="宋体" w:hAnsi="宋体" w:eastAsia="宋体" w:cs="Times New Roman"/>
          <w:snapToGrid/>
          <w:kern w:val="2"/>
          <w:sz w:val="24"/>
          <w:szCs w:val="24"/>
          <w:lang w:val="en-US"/>
        </w:rPr>
        <w:t>电池动力船舶能量管理系统技术要求</w:t>
      </w:r>
      <w:r>
        <w:rPr>
          <w:rFonts w:hint="eastAsia" w:ascii="宋体" w:hAnsi="宋体" w:eastAsia="宋体" w:cs="Times New Roman"/>
          <w:snapToGrid/>
          <w:kern w:val="2"/>
          <w:sz w:val="24"/>
          <w:szCs w:val="24"/>
          <w:lang w:val="en-US"/>
        </w:rPr>
        <w:t>与国际相关规程接轨，并注重标准的适用性。标准内容严格按照标准化工作导则进行编写和表达。</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在标准编制过程中要充分体现“通用要求”的思想，所提出的要求都是</w:t>
      </w:r>
      <w:r>
        <w:rPr>
          <w:rFonts w:hint="default" w:ascii="宋体" w:hAnsi="宋体" w:eastAsia="宋体" w:cs="Times New Roman"/>
          <w:snapToGrid/>
          <w:kern w:val="2"/>
          <w:sz w:val="24"/>
          <w:szCs w:val="24"/>
          <w:lang w:val="en-US"/>
        </w:rPr>
        <w:t>电池动力船舶能量管理</w:t>
      </w:r>
      <w:r>
        <w:rPr>
          <w:rFonts w:hint="eastAsia" w:ascii="宋体" w:hAnsi="宋体" w:eastAsia="宋体" w:cs="Times New Roman"/>
          <w:snapToGrid/>
          <w:kern w:val="2"/>
          <w:sz w:val="24"/>
          <w:szCs w:val="24"/>
          <w:lang w:val="en-US"/>
        </w:rPr>
        <w:t>系统所必须具备的基本要求。</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标准规定的内容应与国家现行有效的法律法规和有关标准协调一致。除了规定个别单独适用于本标准的术语外，均应按照标准编制的有关要求对语言进行规范。</w:t>
      </w:r>
    </w:p>
    <w:p>
      <w:pPr>
        <w:spacing w:line="360" w:lineRule="auto"/>
        <w:jc w:val="left"/>
        <w:rPr>
          <w:rFonts w:ascii="宋体" w:hAnsi="宋体"/>
          <w:b/>
          <w:sz w:val="24"/>
        </w:rPr>
      </w:pPr>
      <w:r>
        <w:rPr>
          <w:rFonts w:hint="eastAsia" w:ascii="宋体" w:hAnsi="宋体"/>
          <w:b/>
          <w:sz w:val="24"/>
        </w:rPr>
        <w:t>（二）</w:t>
      </w:r>
      <w:r>
        <w:rPr>
          <w:rFonts w:hint="eastAsia" w:ascii="宋体" w:hAnsi="宋体" w:cs="Times New Roman"/>
          <w:b/>
          <w:sz w:val="24"/>
        </w:rPr>
        <w:t>标准</w:t>
      </w:r>
      <w:r>
        <w:rPr>
          <w:rFonts w:hint="eastAsia" w:ascii="宋体" w:hAnsi="宋体"/>
          <w:b/>
          <w:sz w:val="24"/>
        </w:rPr>
        <w:t>主要内容</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本文件规定了电</w:t>
      </w:r>
      <w:r>
        <w:rPr>
          <w:rFonts w:hint="default" w:ascii="宋体" w:hAnsi="宋体" w:eastAsia="宋体" w:cs="Times New Roman"/>
          <w:snapToGrid/>
          <w:kern w:val="2"/>
          <w:sz w:val="24"/>
          <w:szCs w:val="24"/>
          <w:lang w:val="en-US"/>
        </w:rPr>
        <w:t>池</w:t>
      </w:r>
      <w:r>
        <w:rPr>
          <w:rFonts w:hint="eastAsia" w:ascii="宋体" w:hAnsi="宋体" w:eastAsia="宋体" w:cs="Times New Roman"/>
          <w:snapToGrid/>
          <w:kern w:val="2"/>
          <w:sz w:val="24"/>
          <w:szCs w:val="24"/>
          <w:lang w:val="en-US"/>
        </w:rPr>
        <w:t>动</w:t>
      </w:r>
      <w:r>
        <w:rPr>
          <w:rFonts w:hint="default" w:ascii="宋体" w:hAnsi="宋体" w:eastAsia="宋体" w:cs="Times New Roman"/>
          <w:snapToGrid/>
          <w:kern w:val="2"/>
          <w:sz w:val="24"/>
          <w:szCs w:val="24"/>
          <w:lang w:val="en-US"/>
        </w:rPr>
        <w:t>力</w:t>
      </w:r>
      <w:r>
        <w:rPr>
          <w:rFonts w:hint="eastAsia" w:ascii="宋体" w:hAnsi="宋体" w:eastAsia="宋体" w:cs="Times New Roman"/>
          <w:snapToGrid/>
          <w:kern w:val="2"/>
          <w:sz w:val="24"/>
          <w:szCs w:val="24"/>
          <w:lang w:val="en-US"/>
        </w:rPr>
        <w:t>船舶能量管理系统的系统架构、功能要求、性能要求、试验方法以及检验规则等。本文件适用于指导电池</w:t>
      </w:r>
      <w:r>
        <w:rPr>
          <w:rFonts w:hint="default" w:ascii="宋体" w:hAnsi="宋体" w:eastAsia="宋体" w:cs="Times New Roman"/>
          <w:snapToGrid/>
          <w:kern w:val="2"/>
          <w:sz w:val="24"/>
          <w:szCs w:val="24"/>
          <w:lang w:val="en-US"/>
        </w:rPr>
        <w:t>动力船舶</w:t>
      </w:r>
      <w:r>
        <w:rPr>
          <w:rFonts w:hint="eastAsia" w:ascii="宋体" w:hAnsi="宋体" w:eastAsia="宋体" w:cs="Times New Roman"/>
          <w:snapToGrid/>
          <w:kern w:val="2"/>
          <w:sz w:val="24"/>
          <w:szCs w:val="24"/>
          <w:lang w:val="en-US"/>
        </w:rPr>
        <w:t>能量管理系统的设计生产和制造。主要技术内容包括：</w:t>
      </w:r>
    </w:p>
    <w:p>
      <w:pPr>
        <w:spacing w:line="360" w:lineRule="auto"/>
        <w:jc w:val="left"/>
        <w:rPr>
          <w:rFonts w:hint="default" w:ascii="宋体" w:hAnsi="宋体" w:cs="Times New Roman"/>
          <w:b/>
          <w:sz w:val="24"/>
          <w:lang w:val="en-US"/>
        </w:rPr>
      </w:pPr>
      <w:r>
        <w:rPr>
          <w:rFonts w:hint="eastAsia" w:ascii="宋体" w:hAnsi="宋体" w:cs="Times New Roman"/>
          <w:b/>
          <w:sz w:val="24"/>
        </w:rPr>
        <w:t>系统架构</w:t>
      </w:r>
      <w:r>
        <w:rPr>
          <w:rFonts w:hint="default" w:ascii="宋体" w:hAnsi="宋体" w:cs="Times New Roman"/>
          <w:b/>
          <w:sz w:val="24"/>
          <w:lang w:val="en-US"/>
        </w:rPr>
        <w:t>设计:</w:t>
      </w:r>
    </w:p>
    <w:p>
      <w:pPr>
        <w:spacing w:line="360" w:lineRule="auto"/>
        <w:ind w:firstLine="480" w:firstLineChars="200"/>
        <w:rPr>
          <w:rFonts w:hint="default"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能量管理系统架构应满足全船运行的功能及性能指标要求，还应满足安全设计、冗余设计和网络安全要求，能量管理系统架构宜包括应用层、控制层、数据</w:t>
      </w:r>
      <w:r>
        <w:rPr>
          <w:rFonts w:hint="default" w:ascii="宋体" w:hAnsi="宋体" w:eastAsia="宋体" w:cs="Times New Roman"/>
          <w:snapToGrid/>
          <w:kern w:val="2"/>
          <w:sz w:val="24"/>
          <w:szCs w:val="24"/>
          <w:lang w:val="en-US"/>
        </w:rPr>
        <w:t>传输</w:t>
      </w:r>
      <w:r>
        <w:rPr>
          <w:rFonts w:hint="eastAsia" w:ascii="宋体" w:hAnsi="宋体" w:eastAsia="宋体" w:cs="Times New Roman"/>
          <w:snapToGrid/>
          <w:kern w:val="2"/>
          <w:sz w:val="24"/>
          <w:szCs w:val="24"/>
          <w:lang w:val="en-US"/>
        </w:rPr>
        <w:t>层。能量管理系统的应用层宜包括主控制器、人机操作终端等。能量管理系统的控制层宜包括左右舷控制器、交换机等设备。能量管理系统的数据传输层宜包括交换机、防火墙等设备</w:t>
      </w:r>
      <w:r>
        <w:rPr>
          <w:rFonts w:hint="default" w:ascii="宋体" w:hAnsi="宋体" w:eastAsia="宋体" w:cs="Times New Roman"/>
          <w:snapToGrid/>
          <w:kern w:val="2"/>
          <w:sz w:val="24"/>
          <w:szCs w:val="24"/>
          <w:lang w:val="en-US"/>
        </w:rPr>
        <w:t>。</w:t>
      </w:r>
    </w:p>
    <w:p>
      <w:pPr>
        <w:spacing w:line="360" w:lineRule="auto"/>
        <w:jc w:val="left"/>
        <w:rPr>
          <w:rFonts w:hint="default" w:ascii="宋体" w:hAnsi="宋体" w:cs="Times New Roman"/>
          <w:b/>
          <w:sz w:val="24"/>
          <w:lang w:val="en-US"/>
        </w:rPr>
      </w:pPr>
      <w:r>
        <w:rPr>
          <w:rFonts w:hint="default" w:ascii="宋体" w:hAnsi="宋体" w:cs="Times New Roman"/>
          <w:b/>
          <w:sz w:val="24"/>
          <w:lang w:val="en-US"/>
        </w:rPr>
        <w:t>集装箱式移动电源换箱逻辑设计:</w:t>
      </w:r>
    </w:p>
    <w:p>
      <w:pPr>
        <w:spacing w:line="360" w:lineRule="auto"/>
        <w:ind w:firstLine="480" w:firstLineChars="200"/>
        <w:rPr>
          <w:rFonts w:hint="eastAsia"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采用集装箱式移动电源的电池动力船舶，</w:t>
      </w:r>
      <w:r>
        <w:rPr>
          <w:rFonts w:hint="eastAsia" w:ascii="宋体" w:hAnsi="宋体" w:eastAsia="宋体" w:cs="Times New Roman"/>
          <w:snapToGrid/>
          <w:kern w:val="2"/>
          <w:sz w:val="24"/>
          <w:szCs w:val="24"/>
          <w:lang w:val="en-US"/>
        </w:rPr>
        <w:t>在运行过程中，应根据箱式电源的</w:t>
      </w:r>
      <w:r>
        <w:rPr>
          <w:rFonts w:hint="default" w:ascii="宋体" w:hAnsi="宋体" w:eastAsia="宋体" w:cs="Times New Roman"/>
          <w:snapToGrid/>
          <w:kern w:val="2"/>
          <w:sz w:val="24"/>
          <w:szCs w:val="24"/>
          <w:lang w:val="en-US"/>
        </w:rPr>
        <w:t>SOC</w:t>
      </w:r>
      <w:r>
        <w:rPr>
          <w:rFonts w:hint="eastAsia" w:ascii="宋体" w:hAnsi="宋体" w:eastAsia="宋体" w:cs="Times New Roman"/>
          <w:snapToGrid/>
          <w:kern w:val="2"/>
          <w:sz w:val="24"/>
          <w:szCs w:val="24"/>
          <w:lang w:val="en-US"/>
        </w:rPr>
        <w:t>和换箱操作规程，动态选择应投入的箱式电源</w:t>
      </w:r>
      <w:r>
        <w:rPr>
          <w:rFonts w:hint="default" w:ascii="宋体" w:hAnsi="宋体" w:eastAsia="宋体" w:cs="Times New Roman"/>
          <w:snapToGrid/>
          <w:kern w:val="2"/>
          <w:sz w:val="24"/>
          <w:szCs w:val="24"/>
          <w:lang w:val="en-US"/>
        </w:rPr>
        <w:t>，</w:t>
      </w:r>
      <w:r>
        <w:rPr>
          <w:rFonts w:hint="eastAsia" w:ascii="宋体" w:hAnsi="宋体" w:eastAsia="宋体" w:cs="Times New Roman"/>
          <w:snapToGrid/>
          <w:kern w:val="2"/>
          <w:sz w:val="24"/>
          <w:szCs w:val="24"/>
          <w:lang w:val="en-US"/>
        </w:rPr>
        <w:t>能够在当前箱式电源SOC低于设定值时进行自动换电，自动换箱时，应</w:t>
      </w:r>
      <w:r>
        <w:rPr>
          <w:rFonts w:hint="default" w:ascii="宋体" w:hAnsi="宋体" w:eastAsia="宋体" w:cs="Times New Roman"/>
          <w:snapToGrid/>
          <w:kern w:val="2"/>
          <w:sz w:val="24"/>
          <w:szCs w:val="24"/>
          <w:lang w:val="en-US"/>
        </w:rPr>
        <w:t>在人机界面上</w:t>
      </w:r>
      <w:r>
        <w:rPr>
          <w:rFonts w:hint="eastAsia" w:ascii="宋体" w:hAnsi="宋体" w:eastAsia="宋体" w:cs="Times New Roman"/>
          <w:snapToGrid/>
          <w:kern w:val="2"/>
          <w:sz w:val="24"/>
          <w:szCs w:val="24"/>
          <w:lang w:val="en-US"/>
        </w:rPr>
        <w:t>先给出确认换箱的提示，确认</w:t>
      </w:r>
      <w:r>
        <w:rPr>
          <w:rFonts w:hint="default" w:ascii="宋体" w:hAnsi="宋体" w:eastAsia="宋体" w:cs="Times New Roman"/>
          <w:snapToGrid/>
          <w:kern w:val="2"/>
          <w:sz w:val="24"/>
          <w:szCs w:val="24"/>
          <w:lang w:val="en-US"/>
        </w:rPr>
        <w:t>换箱</w:t>
      </w:r>
      <w:r>
        <w:rPr>
          <w:rFonts w:hint="eastAsia" w:ascii="宋体" w:hAnsi="宋体" w:eastAsia="宋体" w:cs="Times New Roman"/>
          <w:snapToGrid/>
          <w:kern w:val="2"/>
          <w:sz w:val="24"/>
          <w:szCs w:val="24"/>
          <w:lang w:val="en-US"/>
        </w:rPr>
        <w:t>后，再执行自动换箱操作。当多个箱式电源同时达到换箱条件时，</w:t>
      </w:r>
      <w:r>
        <w:rPr>
          <w:rFonts w:hint="default" w:ascii="宋体" w:hAnsi="宋体" w:eastAsia="宋体" w:cs="Times New Roman"/>
          <w:snapToGrid/>
          <w:kern w:val="2"/>
          <w:sz w:val="24"/>
          <w:szCs w:val="24"/>
          <w:lang w:val="en-US"/>
        </w:rPr>
        <w:t>不应同时换箱，</w:t>
      </w:r>
      <w:r>
        <w:rPr>
          <w:rFonts w:hint="eastAsia" w:ascii="宋体" w:hAnsi="宋体" w:eastAsia="宋体" w:cs="Times New Roman"/>
          <w:snapToGrid/>
          <w:kern w:val="2"/>
          <w:sz w:val="24"/>
          <w:szCs w:val="24"/>
          <w:lang w:val="en-US"/>
        </w:rPr>
        <w:t>应按顺序逐个进行换箱。</w:t>
      </w:r>
    </w:p>
    <w:p>
      <w:pPr>
        <w:spacing w:line="360" w:lineRule="auto"/>
        <w:jc w:val="left"/>
        <w:rPr>
          <w:rFonts w:hint="default" w:ascii="宋体" w:hAnsi="宋体" w:cs="Times New Roman"/>
          <w:b/>
          <w:sz w:val="24"/>
          <w:lang w:val="en-US"/>
        </w:rPr>
      </w:pPr>
      <w:r>
        <w:rPr>
          <w:rFonts w:hint="eastAsia" w:ascii="宋体" w:hAnsi="宋体" w:cs="Times New Roman"/>
          <w:b/>
          <w:sz w:val="24"/>
          <w:lang w:val="en-US"/>
        </w:rPr>
        <w:t>数据/指令</w:t>
      </w:r>
      <w:r>
        <w:rPr>
          <w:rFonts w:hint="default" w:ascii="宋体" w:hAnsi="宋体" w:cs="Times New Roman"/>
          <w:b/>
          <w:sz w:val="24"/>
          <w:lang w:val="en-US"/>
        </w:rPr>
        <w:t>要求:</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应能够与BMS进行数据交互，能够接收箱式电源SOC、分级报警信号等数据，能够向箱式电源发出预充电、接通或切断开关等指令。</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应能够接收直流变流器、交流整流器、逆变电源的分级报警信号等数据，能够向上述设备发送启动、停止等控制指令。</w:t>
      </w:r>
    </w:p>
    <w:p>
      <w:pPr>
        <w:spacing w:line="360" w:lineRule="auto"/>
        <w:jc w:val="left"/>
        <w:rPr>
          <w:rFonts w:hint="default" w:ascii="宋体" w:hAnsi="宋体" w:cs="Times New Roman"/>
          <w:b/>
          <w:sz w:val="24"/>
          <w:lang w:val="en-US"/>
        </w:rPr>
      </w:pPr>
      <w:r>
        <w:rPr>
          <w:rFonts w:hint="eastAsia" w:ascii="宋体" w:hAnsi="宋体" w:cs="Times New Roman"/>
          <w:b/>
          <w:sz w:val="24"/>
          <w:lang w:val="en-US"/>
        </w:rPr>
        <w:t>监测</w:t>
      </w:r>
      <w:r>
        <w:rPr>
          <w:rFonts w:hint="eastAsia" w:ascii="宋体" w:hAnsi="宋体" w:cs="Times New Roman"/>
          <w:b/>
          <w:sz w:val="24"/>
          <w:lang w:val="en-US"/>
        </w:rPr>
        <w:t>报警</w:t>
      </w:r>
      <w:r>
        <w:rPr>
          <w:rFonts w:hint="default" w:ascii="宋体" w:hAnsi="宋体" w:cs="Times New Roman"/>
          <w:b/>
          <w:sz w:val="24"/>
          <w:lang w:val="en-US"/>
        </w:rPr>
        <w:t>要求:</w:t>
      </w:r>
    </w:p>
    <w:p>
      <w:pPr>
        <w:spacing w:line="360" w:lineRule="auto"/>
        <w:ind w:firstLine="480" w:firstLineChars="200"/>
        <w:rPr>
          <w:rFonts w:hint="default"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监测的数据</w:t>
      </w:r>
      <w:r>
        <w:rPr>
          <w:rFonts w:hint="default" w:ascii="宋体" w:hAnsi="宋体" w:eastAsia="宋体" w:cs="Times New Roman"/>
          <w:snapToGrid/>
          <w:kern w:val="2"/>
          <w:sz w:val="24"/>
          <w:szCs w:val="24"/>
          <w:lang w:val="en-US"/>
        </w:rPr>
        <w:t>应符合</w:t>
      </w:r>
      <w:r>
        <w:rPr>
          <w:rFonts w:hint="eastAsia" w:ascii="宋体" w:hAnsi="宋体" w:eastAsia="宋体" w:cs="Times New Roman"/>
          <w:snapToGrid/>
          <w:kern w:val="2"/>
          <w:sz w:val="24"/>
          <w:szCs w:val="24"/>
          <w:lang w:val="en-US"/>
        </w:rPr>
        <w:t>《船舶应用电池动力规范》</w:t>
      </w:r>
      <w:r>
        <w:rPr>
          <w:rFonts w:hint="default" w:ascii="宋体" w:hAnsi="宋体" w:eastAsia="宋体" w:cs="Times New Roman"/>
          <w:snapToGrid/>
          <w:kern w:val="2"/>
          <w:sz w:val="24"/>
          <w:szCs w:val="24"/>
          <w:lang w:val="en-US"/>
        </w:rPr>
        <w:t>要求，</w:t>
      </w:r>
      <w:r>
        <w:rPr>
          <w:rFonts w:hint="eastAsia" w:ascii="宋体" w:hAnsi="宋体" w:eastAsia="宋体" w:cs="Times New Roman"/>
          <w:snapToGrid/>
          <w:kern w:val="2"/>
          <w:sz w:val="24"/>
          <w:szCs w:val="24"/>
          <w:lang w:val="en-US" w:eastAsia="zh-CN"/>
        </w:rPr>
        <w:t>应能采集并显示电池系统和</w:t>
      </w:r>
      <w:r>
        <w:rPr>
          <w:rFonts w:hint="default" w:ascii="宋体" w:hAnsi="宋体" w:eastAsia="宋体" w:cs="Times New Roman"/>
          <w:snapToGrid/>
          <w:kern w:val="2"/>
          <w:sz w:val="24"/>
          <w:szCs w:val="24"/>
          <w:lang w:val="en-US" w:eastAsia="zh-CN"/>
        </w:rPr>
        <w:t>直流配电</w:t>
      </w:r>
      <w:r>
        <w:rPr>
          <w:rFonts w:hint="eastAsia" w:ascii="宋体" w:hAnsi="宋体" w:eastAsia="宋体" w:cs="Times New Roman"/>
          <w:snapToGrid/>
          <w:kern w:val="2"/>
          <w:sz w:val="24"/>
          <w:szCs w:val="24"/>
          <w:lang w:val="en-US" w:eastAsia="zh-CN"/>
        </w:rPr>
        <w:t>系统的重要参数</w:t>
      </w:r>
      <w:r>
        <w:rPr>
          <w:rFonts w:hint="default" w:ascii="宋体" w:hAnsi="宋体" w:eastAsia="宋体" w:cs="Times New Roman"/>
          <w:snapToGrid/>
          <w:kern w:val="2"/>
          <w:sz w:val="24"/>
          <w:szCs w:val="24"/>
          <w:lang w:val="en-US" w:eastAsia="zh-CN"/>
        </w:rPr>
        <w:t>,</w:t>
      </w:r>
      <w:r>
        <w:rPr>
          <w:rFonts w:hint="eastAsia" w:ascii="宋体" w:hAnsi="宋体" w:eastAsia="宋体" w:cs="Times New Roman"/>
          <w:snapToGrid/>
          <w:kern w:val="2"/>
          <w:sz w:val="24"/>
          <w:szCs w:val="24"/>
          <w:lang w:val="en-US" w:eastAsia="zh-CN"/>
        </w:rPr>
        <w:t>应包括但不限于以下内容</w:t>
      </w:r>
      <w:r>
        <w:rPr>
          <w:rFonts w:hint="eastAsia" w:ascii="宋体" w:hAnsi="宋体" w:eastAsia="宋体" w:cs="Times New Roman"/>
          <w:snapToGrid/>
          <w:kern w:val="2"/>
          <w:sz w:val="24"/>
          <w:szCs w:val="24"/>
          <w:lang w:val="en-US"/>
        </w:rPr>
        <w:t>：箱式电源电流</w:t>
      </w:r>
      <w:r>
        <w:rPr>
          <w:rFonts w:hint="default" w:ascii="宋体" w:hAnsi="宋体" w:eastAsia="宋体" w:cs="Times New Roman"/>
          <w:snapToGrid/>
          <w:kern w:val="2"/>
          <w:sz w:val="24"/>
          <w:szCs w:val="24"/>
          <w:lang w:val="en-US"/>
        </w:rPr>
        <w:t>、</w:t>
      </w:r>
      <w:r>
        <w:rPr>
          <w:rFonts w:hint="eastAsia" w:ascii="宋体" w:hAnsi="宋体" w:eastAsia="宋体" w:cs="Times New Roman"/>
          <w:snapToGrid/>
          <w:kern w:val="2"/>
          <w:sz w:val="24"/>
          <w:szCs w:val="24"/>
          <w:lang w:val="en-US"/>
        </w:rPr>
        <w:t>箱式电源电压</w:t>
      </w:r>
      <w:r>
        <w:rPr>
          <w:rFonts w:hint="default" w:ascii="宋体" w:hAnsi="宋体" w:eastAsia="宋体" w:cs="Times New Roman"/>
          <w:snapToGrid/>
          <w:kern w:val="2"/>
          <w:sz w:val="24"/>
          <w:szCs w:val="24"/>
          <w:lang w:val="en-US"/>
        </w:rPr>
        <w:t>、</w:t>
      </w:r>
      <w:r>
        <w:rPr>
          <w:rFonts w:hint="eastAsia" w:ascii="宋体" w:hAnsi="宋体" w:eastAsia="宋体" w:cs="Times New Roman"/>
          <w:snapToGrid/>
          <w:kern w:val="2"/>
          <w:sz w:val="24"/>
          <w:szCs w:val="24"/>
          <w:lang w:val="en-US"/>
        </w:rPr>
        <w:t>箱式电源的温度</w:t>
      </w:r>
      <w:r>
        <w:rPr>
          <w:rFonts w:hint="default" w:ascii="宋体" w:hAnsi="宋体" w:eastAsia="宋体" w:cs="Times New Roman"/>
          <w:snapToGrid/>
          <w:kern w:val="2"/>
          <w:sz w:val="24"/>
          <w:szCs w:val="24"/>
          <w:lang w:val="en-US"/>
        </w:rPr>
        <w:t>、</w:t>
      </w:r>
      <w:r>
        <w:rPr>
          <w:rFonts w:hint="eastAsia" w:ascii="宋体" w:hAnsi="宋体" w:eastAsia="宋体" w:cs="Times New Roman"/>
          <w:snapToGrid/>
          <w:kern w:val="2"/>
          <w:sz w:val="24"/>
          <w:szCs w:val="24"/>
          <w:lang w:val="en-US"/>
        </w:rPr>
        <w:t>箱式电源SOC低</w:t>
      </w:r>
      <w:r>
        <w:rPr>
          <w:rFonts w:hint="default" w:ascii="宋体" w:hAnsi="宋体" w:eastAsia="宋体" w:cs="Times New Roman"/>
          <w:snapToGrid/>
          <w:kern w:val="2"/>
          <w:sz w:val="24"/>
          <w:szCs w:val="24"/>
          <w:lang w:val="en-US"/>
        </w:rPr>
        <w:t>、直流变流器电流、直流变流器功率、交流整流器电流、交流整流器功率、日用逆变器电流、日用逆变器功率、主推进逆变器电流、主推进逆变器功率、侧推逆变器功率（如有）、母线电压、</w:t>
      </w:r>
      <w:r>
        <w:rPr>
          <w:rFonts w:hint="eastAsia" w:ascii="宋体" w:hAnsi="宋体" w:eastAsia="宋体" w:cs="Times New Roman"/>
          <w:snapToGrid/>
          <w:kern w:val="2"/>
          <w:sz w:val="24"/>
          <w:szCs w:val="24"/>
          <w:lang w:val="en-US" w:eastAsia="zh-CN"/>
        </w:rPr>
        <w:t>电池系统、配电系统</w:t>
      </w:r>
      <w:r>
        <w:rPr>
          <w:rFonts w:hint="default" w:ascii="宋体" w:hAnsi="宋体" w:eastAsia="宋体" w:cs="Times New Roman"/>
          <w:snapToGrid/>
          <w:kern w:val="2"/>
          <w:sz w:val="24"/>
          <w:szCs w:val="24"/>
          <w:lang w:val="en-US" w:eastAsia="zh-CN"/>
        </w:rPr>
        <w:t>、</w:t>
      </w:r>
      <w:r>
        <w:rPr>
          <w:rFonts w:hint="eastAsia" w:ascii="宋体" w:hAnsi="宋体" w:eastAsia="宋体" w:cs="Times New Roman"/>
          <w:snapToGrid/>
          <w:kern w:val="2"/>
          <w:sz w:val="24"/>
          <w:szCs w:val="24"/>
          <w:lang w:val="en-US" w:eastAsia="zh-CN"/>
        </w:rPr>
        <w:t>推进系统的严重故障信息</w:t>
      </w:r>
      <w:r>
        <w:rPr>
          <w:rFonts w:hint="default" w:ascii="宋体" w:hAnsi="宋体" w:eastAsia="宋体" w:cs="Times New Roman"/>
          <w:snapToGrid/>
          <w:kern w:val="2"/>
          <w:sz w:val="24"/>
          <w:szCs w:val="24"/>
          <w:lang w:val="en-US"/>
        </w:rPr>
        <w:t>、热失控报警等信号。应有声光报警功能，</w:t>
      </w:r>
      <w:r>
        <w:rPr>
          <w:rFonts w:hint="eastAsia" w:ascii="宋体" w:hAnsi="宋体" w:eastAsia="宋体" w:cs="Times New Roman"/>
          <w:snapToGrid/>
          <w:kern w:val="2"/>
          <w:sz w:val="24"/>
          <w:szCs w:val="24"/>
          <w:lang w:val="en-US"/>
        </w:rPr>
        <w:t>应具备报警确认、历史报警查看功能。</w:t>
      </w:r>
    </w:p>
    <w:p>
      <w:pPr>
        <w:spacing w:line="360" w:lineRule="auto"/>
        <w:jc w:val="left"/>
        <w:rPr>
          <w:rFonts w:hint="default" w:ascii="宋体" w:hAnsi="宋体" w:cs="Times New Roman"/>
          <w:b/>
          <w:sz w:val="24"/>
          <w:lang w:val="en-US"/>
        </w:rPr>
      </w:pPr>
      <w:r>
        <w:rPr>
          <w:rFonts w:hint="eastAsia" w:ascii="宋体" w:hAnsi="宋体" w:cs="Times New Roman"/>
          <w:b/>
          <w:sz w:val="24"/>
          <w:lang w:val="en-US"/>
        </w:rPr>
        <w:t>控制</w:t>
      </w:r>
      <w:r>
        <w:rPr>
          <w:rFonts w:hint="default" w:ascii="宋体" w:hAnsi="宋体" w:cs="Times New Roman"/>
          <w:b/>
          <w:sz w:val="24"/>
          <w:lang w:val="en-US"/>
        </w:rPr>
        <w:t>要求:</w:t>
      </w:r>
    </w:p>
    <w:p>
      <w:pPr>
        <w:spacing w:line="360" w:lineRule="auto"/>
        <w:ind w:firstLine="480" w:firstLineChars="200"/>
        <w:rPr>
          <w:rFonts w:hint="default" w:ascii="宋体" w:hAnsi="宋体" w:eastAsia="宋体" w:cs="Times New Roman"/>
          <w:snapToGrid/>
          <w:kern w:val="2"/>
          <w:sz w:val="24"/>
          <w:szCs w:val="24"/>
          <w:lang w:val="en-US" w:eastAsia="zh-CN"/>
        </w:rPr>
      </w:pPr>
      <w:r>
        <w:rPr>
          <w:rFonts w:hint="default" w:ascii="宋体" w:hAnsi="宋体" w:eastAsia="宋体" w:cs="Times New Roman"/>
          <w:snapToGrid/>
          <w:kern w:val="2"/>
          <w:sz w:val="24"/>
          <w:szCs w:val="24"/>
          <w:lang w:val="en-US" w:eastAsia="zh-CN"/>
        </w:rPr>
        <w:t>应对直流母线具有预充电功能。</w:t>
      </w:r>
      <w:r>
        <w:rPr>
          <w:rFonts w:hint="eastAsia" w:ascii="宋体" w:hAnsi="宋体" w:eastAsia="宋体" w:cs="Times New Roman"/>
          <w:snapToGrid/>
          <w:kern w:val="2"/>
          <w:sz w:val="24"/>
          <w:szCs w:val="24"/>
          <w:lang w:val="en-US" w:eastAsia="zh-CN"/>
        </w:rPr>
        <w:t>对直流变流器具有均流功能，直流变流器在额定工况下，电流不均衡度&lt;5%。应能够在全船电量低于安全值（可设定），提示启动备用电源（如有），自动启动备用电源</w:t>
      </w:r>
      <w:r>
        <w:rPr>
          <w:rFonts w:hint="default" w:ascii="宋体" w:hAnsi="宋体" w:eastAsia="宋体" w:cs="Times New Roman"/>
          <w:snapToGrid/>
          <w:kern w:val="2"/>
          <w:sz w:val="24"/>
          <w:szCs w:val="24"/>
          <w:lang w:val="en-US" w:eastAsia="zh-CN"/>
        </w:rPr>
        <w:t>后，再</w:t>
      </w:r>
      <w:r>
        <w:rPr>
          <w:rFonts w:hint="eastAsia" w:ascii="宋体" w:hAnsi="宋体" w:eastAsia="宋体" w:cs="Times New Roman"/>
          <w:snapToGrid/>
          <w:kern w:val="2"/>
          <w:sz w:val="24"/>
          <w:szCs w:val="24"/>
          <w:lang w:val="en-US" w:eastAsia="zh-CN"/>
        </w:rPr>
        <w:t>自动启动对应整流器，并断开</w:t>
      </w:r>
      <w:r>
        <w:rPr>
          <w:rFonts w:hint="default" w:ascii="宋体" w:hAnsi="宋体" w:eastAsia="宋体" w:cs="Times New Roman"/>
          <w:snapToGrid/>
          <w:kern w:val="2"/>
          <w:sz w:val="24"/>
          <w:szCs w:val="24"/>
          <w:lang w:val="en-US" w:eastAsia="zh-CN"/>
        </w:rPr>
        <w:t>全部的直流</w:t>
      </w:r>
      <w:r>
        <w:rPr>
          <w:rFonts w:hint="eastAsia" w:ascii="宋体" w:hAnsi="宋体" w:eastAsia="宋体" w:cs="Times New Roman"/>
          <w:snapToGrid/>
          <w:kern w:val="2"/>
          <w:sz w:val="24"/>
          <w:szCs w:val="24"/>
          <w:lang w:val="en-US" w:eastAsia="zh-CN"/>
        </w:rPr>
        <w:t>变流器。应能够在全船失电</w:t>
      </w:r>
      <w:r>
        <w:rPr>
          <w:rFonts w:hint="default" w:ascii="宋体" w:hAnsi="宋体" w:eastAsia="宋体" w:cs="Times New Roman"/>
          <w:snapToGrid/>
          <w:kern w:val="2"/>
          <w:sz w:val="24"/>
          <w:szCs w:val="24"/>
          <w:lang w:val="en-US" w:eastAsia="zh-CN"/>
        </w:rPr>
        <w:t>的</w:t>
      </w:r>
      <w:r>
        <w:rPr>
          <w:rFonts w:hint="eastAsia" w:ascii="宋体" w:hAnsi="宋体" w:eastAsia="宋体" w:cs="Times New Roman"/>
          <w:snapToGrid/>
          <w:kern w:val="2"/>
          <w:sz w:val="24"/>
          <w:szCs w:val="24"/>
          <w:lang w:val="en-US" w:eastAsia="zh-CN"/>
        </w:rPr>
        <w:t>情况下，</w:t>
      </w:r>
      <w:r>
        <w:rPr>
          <w:rFonts w:hint="default" w:ascii="宋体" w:hAnsi="宋体" w:eastAsia="宋体" w:cs="Times New Roman"/>
          <w:snapToGrid/>
          <w:kern w:val="2"/>
          <w:sz w:val="24"/>
          <w:szCs w:val="24"/>
          <w:lang w:val="en-US" w:eastAsia="zh-CN"/>
        </w:rPr>
        <w:t>自动</w:t>
      </w:r>
      <w:r>
        <w:rPr>
          <w:rFonts w:hint="eastAsia" w:ascii="宋体" w:hAnsi="宋体" w:eastAsia="宋体" w:cs="Times New Roman"/>
          <w:snapToGrid/>
          <w:kern w:val="2"/>
          <w:sz w:val="24"/>
          <w:szCs w:val="24"/>
          <w:lang w:val="en-US" w:eastAsia="zh-CN"/>
        </w:rPr>
        <w:t>启动备用电源（如有）。</w:t>
      </w:r>
    </w:p>
    <w:p>
      <w:pPr>
        <w:spacing w:line="360" w:lineRule="auto"/>
        <w:jc w:val="left"/>
        <w:rPr>
          <w:rFonts w:hint="default" w:ascii="宋体" w:hAnsi="宋体" w:cs="Times New Roman"/>
          <w:b/>
          <w:sz w:val="24"/>
          <w:lang w:val="en-US"/>
        </w:rPr>
      </w:pPr>
      <w:r>
        <w:rPr>
          <w:rFonts w:hint="eastAsia" w:ascii="宋体" w:hAnsi="宋体" w:cs="Times New Roman"/>
          <w:b/>
          <w:sz w:val="24"/>
          <w:lang w:val="en-US"/>
        </w:rPr>
        <w:t>安全保护</w:t>
      </w:r>
      <w:r>
        <w:rPr>
          <w:rFonts w:hint="default" w:ascii="宋体" w:hAnsi="宋体" w:cs="Times New Roman"/>
          <w:b/>
          <w:sz w:val="24"/>
          <w:lang w:val="en-US"/>
        </w:rPr>
        <w:t>要求:</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eastAsia="zh-CN"/>
        </w:rPr>
        <w:t>电源发生热失控报警后，应能够切断发生热失控的在网电源，设计安全范围（</w:t>
      </w:r>
      <w:r>
        <w:rPr>
          <w:rFonts w:hint="default" w:ascii="宋体" w:hAnsi="宋体" w:eastAsia="宋体" w:cs="Times New Roman"/>
          <w:snapToGrid/>
          <w:kern w:val="2"/>
          <w:sz w:val="24"/>
          <w:szCs w:val="24"/>
          <w:lang w:val="en-US" w:eastAsia="zh-CN"/>
        </w:rPr>
        <w:t>3米</w:t>
      </w:r>
      <w:r>
        <w:rPr>
          <w:rFonts w:hint="eastAsia" w:ascii="宋体" w:hAnsi="宋体" w:eastAsia="宋体" w:cs="Times New Roman"/>
          <w:snapToGrid/>
          <w:kern w:val="2"/>
          <w:sz w:val="24"/>
          <w:szCs w:val="24"/>
          <w:lang w:val="en-US" w:eastAsia="zh-CN"/>
        </w:rPr>
        <w:t>）内的其它电源也要切断，未在网的电源应标记为不可用。电源发生热失控报警后，应能够切电源附近的</w:t>
      </w:r>
      <w:r>
        <w:rPr>
          <w:rFonts w:hint="default" w:ascii="宋体" w:hAnsi="宋体" w:eastAsia="宋体" w:cs="Times New Roman"/>
          <w:snapToGrid/>
          <w:kern w:val="2"/>
          <w:sz w:val="24"/>
          <w:szCs w:val="24"/>
          <w:lang w:val="en-US" w:eastAsia="zh-CN"/>
        </w:rPr>
        <w:t>非防爆用电设备</w:t>
      </w:r>
      <w:r>
        <w:rPr>
          <w:rFonts w:hint="eastAsia" w:ascii="宋体" w:hAnsi="宋体" w:eastAsia="宋体" w:cs="Times New Roman"/>
          <w:snapToGrid/>
          <w:kern w:val="2"/>
          <w:sz w:val="24"/>
          <w:szCs w:val="24"/>
          <w:lang w:val="en-US" w:eastAsia="zh-CN"/>
        </w:rPr>
        <w:t>。</w:t>
      </w:r>
      <w:r>
        <w:rPr>
          <w:rFonts w:hint="default" w:ascii="宋体" w:hAnsi="宋体" w:eastAsia="宋体" w:cs="Times New Roman"/>
          <w:snapToGrid/>
          <w:kern w:val="2"/>
          <w:sz w:val="24"/>
          <w:szCs w:val="24"/>
          <w:lang w:val="en-US" w:eastAsia="zh-CN"/>
        </w:rPr>
        <w:t>应具有重载问询功能，在直流电力</w:t>
      </w:r>
      <w:r>
        <w:rPr>
          <w:rFonts w:hint="eastAsia" w:ascii="宋体" w:hAnsi="宋体" w:eastAsia="宋体" w:cs="Times New Roman"/>
          <w:snapToGrid/>
          <w:kern w:val="2"/>
          <w:sz w:val="24"/>
          <w:szCs w:val="24"/>
          <w:lang w:val="en-US" w:eastAsia="zh-CN"/>
        </w:rPr>
        <w:t>系统供电能力</w:t>
      </w:r>
      <w:r>
        <w:rPr>
          <w:rFonts w:hint="default" w:ascii="宋体" w:hAnsi="宋体" w:eastAsia="宋体" w:cs="Times New Roman"/>
          <w:snapToGrid/>
          <w:kern w:val="2"/>
          <w:sz w:val="24"/>
          <w:szCs w:val="24"/>
          <w:lang w:val="en-US" w:eastAsia="zh-CN"/>
        </w:rPr>
        <w:t>不足的情况下，不允许启动重载设备。</w:t>
      </w:r>
      <w:r>
        <w:rPr>
          <w:rFonts w:hint="eastAsia" w:ascii="宋体" w:hAnsi="宋体" w:eastAsia="宋体" w:cs="Times New Roman"/>
          <w:snapToGrid/>
          <w:kern w:val="2"/>
          <w:sz w:val="24"/>
          <w:szCs w:val="24"/>
          <w:lang w:val="en-US" w:eastAsia="zh-CN"/>
        </w:rPr>
        <w:t>应具有功率限制功能，</w:t>
      </w:r>
      <w:r>
        <w:rPr>
          <w:rFonts w:hint="default" w:ascii="宋体" w:hAnsi="宋体" w:eastAsia="宋体" w:cs="Times New Roman"/>
          <w:snapToGrid/>
          <w:kern w:val="2"/>
          <w:sz w:val="24"/>
          <w:szCs w:val="24"/>
          <w:lang w:val="en-US" w:eastAsia="zh-CN"/>
        </w:rPr>
        <w:t>在直流电力</w:t>
      </w:r>
      <w:r>
        <w:rPr>
          <w:rFonts w:hint="eastAsia" w:ascii="宋体" w:hAnsi="宋体" w:eastAsia="宋体" w:cs="Times New Roman"/>
          <w:snapToGrid/>
          <w:kern w:val="2"/>
          <w:sz w:val="24"/>
          <w:szCs w:val="24"/>
          <w:lang w:val="en-US" w:eastAsia="zh-CN"/>
        </w:rPr>
        <w:t>系统供电能力</w:t>
      </w:r>
      <w:r>
        <w:rPr>
          <w:rFonts w:hint="default" w:ascii="宋体" w:hAnsi="宋体" w:eastAsia="宋体" w:cs="Times New Roman"/>
          <w:snapToGrid/>
          <w:kern w:val="2"/>
          <w:sz w:val="24"/>
          <w:szCs w:val="24"/>
          <w:lang w:val="en-US" w:eastAsia="zh-CN"/>
        </w:rPr>
        <w:t>不足的情况下</w:t>
      </w:r>
      <w:r>
        <w:rPr>
          <w:rFonts w:hint="eastAsia" w:ascii="宋体" w:hAnsi="宋体" w:eastAsia="宋体" w:cs="Times New Roman"/>
          <w:snapToGrid/>
          <w:kern w:val="2"/>
          <w:sz w:val="24"/>
          <w:szCs w:val="24"/>
          <w:lang w:val="en-US" w:eastAsia="zh-CN"/>
        </w:rPr>
        <w:t>，对</w:t>
      </w:r>
      <w:r>
        <w:rPr>
          <w:rFonts w:hint="default" w:ascii="宋体" w:hAnsi="宋体" w:eastAsia="宋体" w:cs="Times New Roman"/>
          <w:snapToGrid/>
          <w:kern w:val="2"/>
          <w:sz w:val="24"/>
          <w:szCs w:val="24"/>
          <w:lang w:val="en-US" w:eastAsia="zh-CN"/>
        </w:rPr>
        <w:t>主</w:t>
      </w:r>
      <w:r>
        <w:rPr>
          <w:rFonts w:hint="eastAsia" w:ascii="宋体" w:hAnsi="宋体" w:eastAsia="宋体" w:cs="Times New Roman"/>
          <w:snapToGrid/>
          <w:kern w:val="2"/>
          <w:sz w:val="24"/>
          <w:szCs w:val="24"/>
          <w:lang w:val="en-US" w:eastAsia="zh-CN"/>
        </w:rPr>
        <w:t>推进设备进行功率限制。</w:t>
      </w:r>
      <w:r>
        <w:rPr>
          <w:rFonts w:hint="default" w:ascii="宋体" w:hAnsi="宋体" w:eastAsia="宋体" w:cs="Times New Roman"/>
          <w:snapToGrid/>
          <w:kern w:val="2"/>
          <w:sz w:val="24"/>
          <w:szCs w:val="24"/>
          <w:lang w:val="en-US" w:eastAsia="zh-CN"/>
        </w:rPr>
        <w:t>应具有优先脱扣功能，在直流变流器功率达到安全值（可设定）时，触发优先脱扣动作，对日用大功率设置进行分级卸载，保障重要大功率设备稳定运行。</w:t>
      </w:r>
    </w:p>
    <w:p>
      <w:pPr>
        <w:numPr>
          <w:ilvl w:val="0"/>
          <w:numId w:val="4"/>
        </w:numPr>
        <w:spacing w:line="360" w:lineRule="auto"/>
        <w:jc w:val="left"/>
        <w:rPr>
          <w:rFonts w:hint="eastAsia" w:ascii="宋体" w:hAnsi="宋体"/>
          <w:b/>
          <w:sz w:val="24"/>
        </w:rPr>
      </w:pPr>
      <w:r>
        <w:rPr>
          <w:rFonts w:hint="eastAsia" w:ascii="宋体" w:hAnsi="宋体"/>
          <w:b/>
          <w:sz w:val="24"/>
        </w:rPr>
        <w:t>主要技术指标确定依据</w:t>
      </w:r>
    </w:p>
    <w:p>
      <w:pPr>
        <w:spacing w:line="360" w:lineRule="auto"/>
        <w:ind w:firstLine="480" w:firstLineChars="200"/>
        <w:rPr>
          <w:rFonts w:hint="default" w:ascii="宋体" w:hAnsi="宋体" w:eastAsia="宋体" w:cs="Times New Roman"/>
          <w:snapToGrid/>
          <w:kern w:val="2"/>
          <w:sz w:val="24"/>
          <w:szCs w:val="24"/>
          <w:lang w:val="en-US" w:eastAsia="zh-CN"/>
        </w:rPr>
      </w:pPr>
      <w:r>
        <w:rPr>
          <w:rFonts w:hint="default" w:ascii="宋体" w:hAnsi="宋体" w:eastAsia="宋体" w:cs="Times New Roman"/>
          <w:snapToGrid/>
          <w:kern w:val="2"/>
          <w:sz w:val="24"/>
          <w:szCs w:val="24"/>
          <w:lang w:val="en-US" w:eastAsia="zh-CN"/>
        </w:rPr>
        <w:t>该标准的电性能指标根据</w:t>
      </w:r>
      <w:r>
        <w:rPr>
          <w:rFonts w:hint="eastAsia" w:ascii="宋体" w:hAnsi="宋体" w:eastAsia="宋体" w:cs="Times New Roman"/>
          <w:snapToGrid/>
          <w:kern w:val="2"/>
          <w:sz w:val="24"/>
          <w:szCs w:val="24"/>
          <w:lang w:val="en-US" w:eastAsia="zh-CN"/>
        </w:rPr>
        <w:t>GB/T 16927.1</w:t>
      </w:r>
      <w:r>
        <w:rPr>
          <w:rFonts w:hint="default" w:ascii="宋体" w:hAnsi="宋体" w:eastAsia="宋体" w:cs="Times New Roman"/>
          <w:snapToGrid/>
          <w:kern w:val="2"/>
          <w:sz w:val="24"/>
          <w:szCs w:val="24"/>
          <w:lang w:val="en-US" w:eastAsia="zh-CN"/>
        </w:rPr>
        <w:t>和</w:t>
      </w:r>
      <w:r>
        <w:rPr>
          <w:rFonts w:hint="eastAsia" w:ascii="宋体" w:hAnsi="宋体" w:eastAsia="宋体" w:cs="Times New Roman"/>
          <w:snapToGrid/>
          <w:kern w:val="2"/>
          <w:sz w:val="24"/>
          <w:szCs w:val="24"/>
          <w:lang w:val="en-US" w:eastAsia="zh-CN"/>
        </w:rPr>
        <w:t>GB 311.1，</w:t>
      </w:r>
      <w:r>
        <w:rPr>
          <w:rFonts w:hint="default" w:ascii="宋体" w:hAnsi="宋体" w:eastAsia="宋体" w:cs="Times New Roman"/>
          <w:snapToGrid/>
          <w:kern w:val="2"/>
          <w:sz w:val="24"/>
          <w:szCs w:val="24"/>
          <w:lang w:val="en-US" w:eastAsia="zh-CN"/>
        </w:rPr>
        <w:t>环境适应性指标根据</w:t>
      </w:r>
      <w:r>
        <w:rPr>
          <w:rFonts w:hint="eastAsia" w:ascii="宋体" w:hAnsi="宋体" w:eastAsia="宋体" w:cs="Times New Roman"/>
          <w:snapToGrid/>
          <w:kern w:val="2"/>
          <w:sz w:val="24"/>
          <w:szCs w:val="24"/>
          <w:lang w:val="en-US" w:eastAsia="zh-CN"/>
        </w:rPr>
        <w:t>GB/T 2423、GB 4208</w:t>
      </w:r>
      <w:r>
        <w:rPr>
          <w:rFonts w:hint="default" w:ascii="宋体" w:hAnsi="宋体" w:eastAsia="宋体" w:cs="Times New Roman"/>
          <w:snapToGrid/>
          <w:kern w:val="2"/>
          <w:sz w:val="24"/>
          <w:szCs w:val="24"/>
          <w:lang w:val="en-US" w:eastAsia="zh-CN"/>
        </w:rPr>
        <w:t>及</w:t>
      </w:r>
      <w:r>
        <w:rPr>
          <w:rFonts w:hint="eastAsia" w:ascii="宋体" w:hAnsi="宋体" w:eastAsia="宋体" w:cs="Times New Roman"/>
          <w:snapToGrid/>
          <w:kern w:val="2"/>
          <w:sz w:val="24"/>
          <w:szCs w:val="24"/>
          <w:lang w:val="en-US" w:eastAsia="zh-CN"/>
        </w:rPr>
        <w:t>中国船级社《电气电子产品型式认可试验指南》</w:t>
      </w:r>
      <w:r>
        <w:rPr>
          <w:rFonts w:hint="default" w:ascii="宋体" w:hAnsi="宋体" w:eastAsia="宋体" w:cs="Times New Roman"/>
          <w:snapToGrid/>
          <w:kern w:val="2"/>
          <w:sz w:val="24"/>
          <w:szCs w:val="24"/>
          <w:lang w:val="en-US" w:eastAsia="zh-CN"/>
        </w:rPr>
        <w:t>，</w:t>
      </w:r>
      <w:bookmarkStart w:id="4" w:name="_GoBack"/>
      <w:bookmarkEnd w:id="4"/>
      <w:r>
        <w:rPr>
          <w:rFonts w:hint="default" w:ascii="宋体" w:hAnsi="宋体" w:eastAsia="宋体" w:cs="Times New Roman"/>
          <w:snapToGrid/>
          <w:kern w:val="2"/>
          <w:sz w:val="24"/>
          <w:szCs w:val="24"/>
          <w:lang w:val="en-US" w:eastAsia="zh-CN"/>
        </w:rPr>
        <w:t>功能性指标根据</w:t>
      </w:r>
      <w:r>
        <w:rPr>
          <w:rFonts w:hint="eastAsia" w:ascii="宋体" w:hAnsi="宋体" w:eastAsia="宋体" w:cs="Times New Roman"/>
          <w:snapToGrid/>
          <w:kern w:val="2"/>
          <w:sz w:val="24"/>
          <w:szCs w:val="24"/>
          <w:lang w:val="en-US" w:eastAsia="zh-CN"/>
        </w:rPr>
        <w:t>中国船级社《船舶应用电池动力规范》</w:t>
      </w:r>
      <w:r>
        <w:rPr>
          <w:rFonts w:hint="default" w:ascii="宋体" w:hAnsi="宋体" w:eastAsia="宋体" w:cs="Times New Roman"/>
          <w:snapToGrid/>
          <w:kern w:val="2"/>
          <w:sz w:val="24"/>
          <w:szCs w:val="24"/>
          <w:lang w:val="en-US" w:eastAsia="zh-CN"/>
        </w:rPr>
        <w:t>及实船实际需求设置。</w:t>
      </w:r>
    </w:p>
    <w:p>
      <w:pPr>
        <w:spacing w:line="360" w:lineRule="auto"/>
        <w:jc w:val="left"/>
        <w:rPr>
          <w:rFonts w:hAnsiTheme="minorEastAsia"/>
          <w:b/>
          <w:sz w:val="24"/>
        </w:rPr>
      </w:pPr>
      <w:r>
        <w:rPr>
          <w:rFonts w:hint="eastAsia" w:hAnsiTheme="minorEastAsia"/>
          <w:b/>
          <w:sz w:val="24"/>
        </w:rPr>
        <w:t>三、主要试验（验证）情况分析</w:t>
      </w:r>
    </w:p>
    <w:p>
      <w:pPr>
        <w:spacing w:line="360" w:lineRule="auto"/>
        <w:ind w:firstLine="480" w:firstLineChars="200"/>
        <w:rPr>
          <w:rFonts w:hint="default"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上海船舶运输科学研究所有限公司为了验证标准的功能要求、性能要求等考核指标，采用硬件在环的设计方式搭建了标准验证平台，也可以在中远海运700箱纯电池集装箱船上进行实船测试验证。</w:t>
      </w:r>
    </w:p>
    <w:p>
      <w:pPr>
        <w:spacing w:line="360" w:lineRule="auto"/>
        <w:jc w:val="left"/>
        <w:rPr>
          <w:rFonts w:hAnsiTheme="minorEastAsia"/>
          <w:b/>
          <w:sz w:val="24"/>
        </w:rPr>
      </w:pPr>
      <w:r>
        <w:rPr>
          <w:rFonts w:hint="eastAsia" w:hAnsiTheme="minorEastAsia"/>
          <w:b/>
          <w:sz w:val="24"/>
        </w:rPr>
        <w:t>四、标准中有关专利情况说明</w:t>
      </w:r>
    </w:p>
    <w:p>
      <w:pPr>
        <w:pStyle w:val="4"/>
        <w:spacing w:line="360" w:lineRule="auto"/>
        <w:rPr>
          <w:rFonts w:hint="eastAsia" w:cs="Times New Roman"/>
          <w:lang w:val="en-US"/>
        </w:rPr>
      </w:pPr>
      <w:r>
        <w:rPr>
          <w:rFonts w:hint="eastAsia" w:cs="Times New Roman"/>
          <w:lang w:val="en-US"/>
        </w:rPr>
        <w:t>本标准不涉及专利。</w:t>
      </w:r>
    </w:p>
    <w:p>
      <w:pPr>
        <w:numPr>
          <w:ilvl w:val="0"/>
          <w:numId w:val="5"/>
        </w:numPr>
        <w:spacing w:line="360" w:lineRule="auto"/>
        <w:jc w:val="left"/>
        <w:rPr>
          <w:rFonts w:hint="eastAsia" w:hAnsiTheme="minorEastAsia"/>
          <w:b/>
          <w:sz w:val="24"/>
        </w:rPr>
      </w:pPr>
      <w:r>
        <w:rPr>
          <w:rFonts w:hint="eastAsia" w:hAnsiTheme="minorEastAsia"/>
          <w:b/>
          <w:sz w:val="24"/>
        </w:rPr>
        <w:t>预期达到的经济社会效益</w:t>
      </w:r>
    </w:p>
    <w:p>
      <w:pPr>
        <w:pStyle w:val="4"/>
        <w:spacing w:line="360" w:lineRule="auto"/>
        <w:rPr>
          <w:rFonts w:hint="eastAsia"/>
        </w:rPr>
      </w:pPr>
      <w:r>
        <w:rPr>
          <w:rFonts w:hint="eastAsia"/>
        </w:rPr>
        <w:t>该标准发布实施后，将对规范我国</w:t>
      </w:r>
      <w:r>
        <w:rPr>
          <w:rFonts w:hint="default"/>
          <w:lang w:val="en-US"/>
        </w:rPr>
        <w:t>电池动力船舶船用产品</w:t>
      </w:r>
      <w:r>
        <w:rPr>
          <w:rFonts w:hint="eastAsia"/>
        </w:rPr>
        <w:t>开发发挥重要作用，对促进我国</w:t>
      </w:r>
      <w:r>
        <w:rPr>
          <w:rFonts w:hint="default"/>
          <w:lang w:val="en-US"/>
        </w:rPr>
        <w:t>电池动力船舶</w:t>
      </w:r>
      <w:r>
        <w:rPr>
          <w:rFonts w:hint="eastAsia"/>
        </w:rPr>
        <w:t>高质量发展具有重要意义。</w:t>
      </w:r>
    </w:p>
    <w:p>
      <w:pPr>
        <w:pStyle w:val="4"/>
        <w:spacing w:line="360" w:lineRule="auto"/>
        <w:rPr>
          <w:rFonts w:hint="eastAsia"/>
        </w:rPr>
      </w:pPr>
      <w:r>
        <w:rPr>
          <w:rFonts w:hint="eastAsia" w:cs="Times New Roman"/>
        </w:rPr>
        <w:t>船级社可根据本标准对相关产品进行认证和检验</w:t>
      </w:r>
      <w:r>
        <w:rPr>
          <w:rFonts w:hint="default" w:cs="Times New Roman"/>
          <w:lang w:val="en-US"/>
        </w:rPr>
        <w:t>；能量管理系统</w:t>
      </w:r>
      <w:r>
        <w:rPr>
          <w:rFonts w:hint="eastAsia" w:cs="Times New Roman"/>
        </w:rPr>
        <w:t>的制造商可以根据本标准设计</w:t>
      </w:r>
      <w:r>
        <w:rPr>
          <w:rFonts w:hint="default" w:cs="Times New Roman"/>
          <w:lang w:val="en-US"/>
        </w:rPr>
        <w:t>相关产品；</w:t>
      </w:r>
      <w:r>
        <w:rPr>
          <w:rFonts w:hint="eastAsia" w:cs="Times New Roman"/>
        </w:rPr>
        <w:t>为国内外船东采购</w:t>
      </w:r>
      <w:r>
        <w:rPr>
          <w:rFonts w:hint="default" w:cs="Times New Roman"/>
          <w:lang w:val="en-US"/>
        </w:rPr>
        <w:t>能量管理系统</w:t>
      </w:r>
      <w:r>
        <w:rPr>
          <w:rFonts w:hint="eastAsia" w:cs="Times New Roman"/>
        </w:rPr>
        <w:t>，提供了依据。</w:t>
      </w:r>
    </w:p>
    <w:p>
      <w:pPr>
        <w:numPr>
          <w:ilvl w:val="0"/>
          <w:numId w:val="6"/>
        </w:numPr>
        <w:tabs>
          <w:tab w:val="center" w:pos="4153"/>
        </w:tabs>
        <w:spacing w:line="360" w:lineRule="auto"/>
        <w:jc w:val="left"/>
        <w:rPr>
          <w:rFonts w:hint="eastAsia" w:hAnsiTheme="minorEastAsia"/>
          <w:b/>
          <w:sz w:val="24"/>
        </w:rPr>
      </w:pPr>
      <w:r>
        <w:rPr>
          <w:rFonts w:hint="eastAsia" w:hAnsiTheme="minorEastAsia"/>
          <w:b/>
          <w:sz w:val="24"/>
        </w:rPr>
        <w:t>采用国际标准和国外先进标准情况</w:t>
      </w:r>
      <w:r>
        <w:rPr>
          <w:rFonts w:hint="default" w:hAnsiTheme="minorEastAsia"/>
          <w:b/>
          <w:sz w:val="24"/>
          <w:lang w:val="en-US"/>
        </w:rPr>
        <w:tab/>
      </w:r>
    </w:p>
    <w:p>
      <w:pPr>
        <w:spacing w:line="360" w:lineRule="auto"/>
        <w:ind w:firstLine="480" w:firstLineChars="200"/>
        <w:rPr>
          <w:rFonts w:hint="default" w:ascii="宋体" w:hAnsi="宋体" w:eastAsia="宋体" w:cs="Times New Roman"/>
          <w:snapToGrid/>
          <w:kern w:val="2"/>
          <w:sz w:val="24"/>
          <w:szCs w:val="24"/>
          <w:lang w:val="en-US"/>
        </w:rPr>
      </w:pPr>
      <w:r>
        <w:rPr>
          <w:rFonts w:hint="default" w:ascii="宋体" w:hAnsi="宋体" w:eastAsia="宋体" w:cs="Times New Roman"/>
          <w:snapToGrid/>
          <w:kern w:val="2"/>
          <w:sz w:val="24"/>
          <w:szCs w:val="24"/>
          <w:lang w:val="en-US"/>
        </w:rPr>
        <w:t>无相关情况。</w:t>
      </w:r>
    </w:p>
    <w:p>
      <w:pPr>
        <w:spacing w:line="360" w:lineRule="auto"/>
        <w:jc w:val="left"/>
        <w:rPr>
          <w:rFonts w:hint="eastAsia" w:hAnsiTheme="minorEastAsia"/>
          <w:b/>
          <w:sz w:val="24"/>
        </w:rPr>
      </w:pPr>
      <w:r>
        <w:rPr>
          <w:rFonts w:hint="eastAsia" w:hAnsiTheme="minorEastAsia"/>
          <w:b/>
          <w:sz w:val="24"/>
        </w:rPr>
        <w:t>七、重大分歧意见的处理经过和依据</w:t>
      </w:r>
    </w:p>
    <w:p>
      <w:pPr>
        <w:spacing w:line="360" w:lineRule="auto"/>
        <w:ind w:firstLine="420" w:firstLineChars="200"/>
        <w:rPr>
          <w:rFonts w:hint="default"/>
          <w:lang w:val="en-US"/>
        </w:rPr>
      </w:pPr>
      <w:r>
        <w:rPr>
          <w:rFonts w:hint="default"/>
          <w:lang w:val="en-US"/>
        </w:rPr>
        <w:t>目前无重大分歧</w:t>
      </w:r>
      <w:r>
        <w:rPr>
          <w:rFonts w:hint="default" w:ascii="宋体" w:hAnsi="宋体" w:eastAsia="宋体" w:cs="Times New Roman"/>
          <w:snapToGrid/>
          <w:kern w:val="2"/>
          <w:sz w:val="24"/>
          <w:szCs w:val="24"/>
          <w:lang w:val="en-US"/>
        </w:rPr>
        <w:t>意见。</w:t>
      </w:r>
    </w:p>
    <w:p>
      <w:pPr>
        <w:spacing w:line="360" w:lineRule="auto"/>
        <w:jc w:val="left"/>
        <w:rPr>
          <w:rFonts w:hAnsiTheme="minorEastAsia"/>
          <w:b/>
          <w:sz w:val="24"/>
        </w:rPr>
      </w:pPr>
      <w:r>
        <w:rPr>
          <w:rFonts w:hint="eastAsia" w:hAnsiTheme="minorEastAsia"/>
          <w:b/>
          <w:sz w:val="24"/>
        </w:rPr>
        <w:t>八、贯彻学会标准的要求和措施建议</w:t>
      </w:r>
    </w:p>
    <w:p>
      <w:pPr>
        <w:spacing w:line="360" w:lineRule="auto"/>
        <w:ind w:firstLine="480" w:firstLineChars="200"/>
        <w:rPr>
          <w:rFonts w:hint="eastAsia" w:ascii="宋体" w:hAnsi="宋体" w:eastAsia="宋体" w:cs="Times New Roman"/>
          <w:snapToGrid/>
          <w:kern w:val="2"/>
          <w:sz w:val="24"/>
          <w:szCs w:val="24"/>
          <w:lang w:val="en-US"/>
        </w:rPr>
      </w:pPr>
      <w:r>
        <w:rPr>
          <w:rFonts w:hint="eastAsia" w:ascii="宋体" w:hAnsi="宋体" w:eastAsia="宋体" w:cs="Times New Roman"/>
          <w:snapToGrid/>
          <w:kern w:val="2"/>
          <w:sz w:val="24"/>
          <w:szCs w:val="24"/>
          <w:lang w:val="en-US"/>
        </w:rPr>
        <w:t>标准发布后，应及时组织宣贯会，让企业和相关管理部门了解和熟悉标准主要内容，以保证相关规定和标准的顺利实施。</w:t>
      </w:r>
    </w:p>
    <w:p>
      <w:pPr>
        <w:spacing w:line="360" w:lineRule="auto"/>
        <w:jc w:val="left"/>
      </w:pPr>
      <w:r>
        <w:rPr>
          <w:rFonts w:hint="eastAsia" w:hAnsiTheme="minorEastAsia"/>
          <w:b/>
          <w:sz w:val="24"/>
        </w:rPr>
        <w:t>九、其它应予说明的事项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4CC6D"/>
    <w:multiLevelType w:val="singleLevel"/>
    <w:tmpl w:val="9044CC6D"/>
    <w:lvl w:ilvl="0" w:tentative="0">
      <w:start w:val="6"/>
      <w:numFmt w:val="chineseCounting"/>
      <w:suff w:val="nothing"/>
      <w:lvlText w:val="%1、"/>
      <w:lvlJc w:val="left"/>
      <w:rPr>
        <w:rFonts w:hint="eastAsia"/>
      </w:rPr>
    </w:lvl>
  </w:abstractNum>
  <w:abstractNum w:abstractNumId="1">
    <w:nsid w:val="AC4D6DE0"/>
    <w:multiLevelType w:val="singleLevel"/>
    <w:tmpl w:val="AC4D6DE0"/>
    <w:lvl w:ilvl="0" w:tentative="0">
      <w:start w:val="5"/>
      <w:numFmt w:val="chineseCounting"/>
      <w:suff w:val="nothing"/>
      <w:lvlText w:val="%1、"/>
      <w:lvlJc w:val="left"/>
      <w:rPr>
        <w:rFonts w:hint="eastAsia"/>
      </w:rPr>
    </w:lvl>
  </w:abstractNum>
  <w:abstractNum w:abstractNumId="2">
    <w:nsid w:val="391DB47F"/>
    <w:multiLevelType w:val="singleLevel"/>
    <w:tmpl w:val="391DB47F"/>
    <w:lvl w:ilvl="0" w:tentative="0">
      <w:start w:val="3"/>
      <w:numFmt w:val="chineseCounting"/>
      <w:suff w:val="nothing"/>
      <w:lvlText w:val="（%1）"/>
      <w:lvlJc w:val="left"/>
      <w:rPr>
        <w:rFonts w:hint="eastAsia"/>
      </w:rPr>
    </w:lvl>
  </w:abstractNum>
  <w:abstractNum w:abstractNumId="3">
    <w:nsid w:val="4BF90C07"/>
    <w:multiLevelType w:val="singleLevel"/>
    <w:tmpl w:val="4BF90C07"/>
    <w:lvl w:ilvl="0" w:tentative="0">
      <w:start w:val="2"/>
      <w:numFmt w:val="chineseCounting"/>
      <w:suff w:val="nothing"/>
      <w:lvlText w:val="（%1）"/>
      <w:lvlJc w:val="left"/>
      <w:rPr>
        <w:rFonts w:hint="eastAsia"/>
      </w:rPr>
    </w:lvl>
  </w:abstractNum>
  <w:abstractNum w:abstractNumId="4">
    <w:nsid w:val="62081883"/>
    <w:multiLevelType w:val="multilevel"/>
    <w:tmpl w:val="62081883"/>
    <w:lvl w:ilvl="0" w:tentative="0">
      <w:start w:val="1"/>
      <w:numFmt w:val="lowerLetter"/>
      <w:pStyle w:val="16"/>
      <w:lvlText w:val="%1)"/>
      <w:lvlJc w:val="left"/>
      <w:pPr>
        <w:tabs>
          <w:tab w:val="left" w:pos="852"/>
        </w:tabs>
        <w:ind w:left="852"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5"/>
      <w:suff w:val="nothing"/>
      <w:lvlText w:val="%1%2　"/>
      <w:lvlJc w:val="left"/>
      <w:pPr>
        <w:ind w:left="568" w:firstLine="0"/>
      </w:pPr>
      <w:rPr>
        <w:rFonts w:hint="eastAsia" w:ascii="黑体" w:eastAsia="黑体"/>
        <w:b w:val="0"/>
        <w:i w:val="0"/>
        <w:sz w:val="21"/>
      </w:rPr>
    </w:lvl>
    <w:lvl w:ilvl="2" w:tentative="0">
      <w:start w:val="1"/>
      <w:numFmt w:val="decimal"/>
      <w:pStyle w:val="1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2"/>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jYmI0Mzk3NDI3YTJkMmYwNzY2NGZlY2JjMjEwYWMifQ=="/>
  </w:docVars>
  <w:rsids>
    <w:rsidRoot w:val="00CE0EFC"/>
    <w:rsid w:val="000E0D3D"/>
    <w:rsid w:val="00905291"/>
    <w:rsid w:val="00B439F8"/>
    <w:rsid w:val="00CE0EFC"/>
    <w:rsid w:val="00F9172A"/>
    <w:rsid w:val="099C65C6"/>
    <w:rsid w:val="1C4A6D91"/>
    <w:rsid w:val="1C806382"/>
    <w:rsid w:val="260B672B"/>
    <w:rsid w:val="290A0823"/>
    <w:rsid w:val="30041483"/>
    <w:rsid w:val="3E8F3690"/>
    <w:rsid w:val="4FB560E0"/>
    <w:rsid w:val="54287CD0"/>
    <w:rsid w:val="6E120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kern w:val="0"/>
      <w:sz w:val="21"/>
      <w:szCs w:val="21"/>
      <w:lang w:val="en-GB"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0"/>
    <w:pPr>
      <w:spacing w:after="120"/>
    </w:pPr>
  </w:style>
  <w:style w:type="paragraph" w:styleId="4">
    <w:name w:val="Body Text Indent"/>
    <w:basedOn w:val="1"/>
    <w:uiPriority w:val="0"/>
    <w:pPr>
      <w:ind w:firstLine="480" w:firstLineChars="200"/>
    </w:pPr>
    <w:rPr>
      <w:sz w:val="24"/>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tabs>
        <w:tab w:val="center" w:pos="4153"/>
        <w:tab w:val="right" w:pos="8306"/>
      </w:tabs>
      <w:snapToGrid w:val="0"/>
      <w:jc w:val="center"/>
    </w:pPr>
    <w:rPr>
      <w:sz w:val="18"/>
      <w:szCs w:val="18"/>
    </w:rPr>
  </w:style>
  <w:style w:type="character" w:customStyle="1" w:styleId="9">
    <w:name w:val="页眉 字符"/>
    <w:basedOn w:val="8"/>
    <w:link w:val="6"/>
    <w:qFormat/>
    <w:uiPriority w:val="99"/>
    <w:rPr>
      <w:rFonts w:cs="Times New Roman" w:asciiTheme="minorEastAsia"/>
      <w:snapToGrid w:val="0"/>
      <w:kern w:val="0"/>
      <w:sz w:val="18"/>
      <w:szCs w:val="18"/>
      <w:lang w:val="en-GB"/>
    </w:rPr>
  </w:style>
  <w:style w:type="character" w:customStyle="1" w:styleId="10">
    <w:name w:val="页脚 字符"/>
    <w:basedOn w:val="8"/>
    <w:link w:val="5"/>
    <w:qFormat/>
    <w:uiPriority w:val="99"/>
    <w:rPr>
      <w:rFonts w:cs="Times New Roman" w:asciiTheme="minorEastAsia"/>
      <w:snapToGrid w:val="0"/>
      <w:kern w:val="0"/>
      <w:sz w:val="18"/>
      <w:szCs w:val="18"/>
      <w:lang w:val="en-GB"/>
    </w:rPr>
  </w:style>
  <w:style w:type="paragraph" w:customStyle="1" w:styleId="11">
    <w:name w:val="标准文件_二级无标题"/>
    <w:basedOn w:val="12"/>
    <w:autoRedefine/>
    <w:qFormat/>
    <w:uiPriority w:val="0"/>
    <w:pPr>
      <w:spacing w:beforeLines="0" w:afterLines="0"/>
      <w:outlineLvl w:val="9"/>
    </w:pPr>
    <w:rPr>
      <w:rFonts w:ascii="宋体" w:eastAsia="宋体"/>
      <w:color w:val="FF0000"/>
    </w:rPr>
  </w:style>
  <w:style w:type="paragraph" w:customStyle="1" w:styleId="12">
    <w:name w:val="标准文件_二级条标题"/>
    <w:next w:val="13"/>
    <w:autoRedefine/>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13">
    <w:name w:val="标准文件_段"/>
    <w:autoRedefine/>
    <w:qFormat/>
    <w:uiPriority w:val="0"/>
    <w:pPr>
      <w:autoSpaceDE w:val="0"/>
      <w:autoSpaceDN w:val="0"/>
      <w:jc w:val="center"/>
    </w:pPr>
    <w:rPr>
      <w:rFonts w:ascii="宋体" w:hAnsi="Times New Roman" w:eastAsia="宋体" w:cs="Times New Roman"/>
      <w:color w:val="000000" w:themeColor="text1"/>
      <w:sz w:val="21"/>
      <w:lang w:val="en-US" w:eastAsia="zh-CN" w:bidi="ar-SA"/>
      <w14:textFill>
        <w14:solidFill>
          <w14:schemeClr w14:val="tx1"/>
        </w14:solidFill>
      </w14:textFill>
    </w:rPr>
  </w:style>
  <w:style w:type="paragraph" w:customStyle="1" w:styleId="14">
    <w:name w:val="标准文件_一级条标题"/>
    <w:basedOn w:val="15"/>
    <w:next w:val="13"/>
    <w:autoRedefine/>
    <w:qFormat/>
    <w:uiPriority w:val="0"/>
    <w:pPr>
      <w:numPr>
        <w:ilvl w:val="2"/>
      </w:numPr>
      <w:spacing w:beforeLines="50" w:afterLines="50"/>
      <w:outlineLvl w:val="1"/>
    </w:pPr>
    <w:rPr>
      <w:color w:val="FF0000"/>
    </w:rPr>
  </w:style>
  <w:style w:type="paragraph" w:customStyle="1" w:styleId="15">
    <w:name w:val="标准文件_章标题"/>
    <w:next w:val="13"/>
    <w:autoRedefine/>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6">
    <w:name w:val="标准文件_字母编号列项（一级）"/>
    <w:autoRedefine/>
    <w:qFormat/>
    <w:uiPriority w:val="0"/>
    <w:pPr>
      <w:numPr>
        <w:ilvl w:val="0"/>
        <w:numId w:val="2"/>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422</Words>
  <Characters>427</Characters>
  <Lines>3</Lines>
  <Paragraphs>1</Paragraphs>
  <TotalTime>3</TotalTime>
  <ScaleCrop>false</ScaleCrop>
  <LinksUpToDate>false</LinksUpToDate>
  <CharactersWithSpaces>427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2024-07-03T01:52:00Z</dcterms:created>
  <dc:creator>user</dc:creator>
  <cp:lastModifiedBy>兴龙</cp:lastModifiedBy>
  <dcterms:modified xsi:type="dcterms:W3CDTF">2024-08-12T08:39:43Z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86D38F7A38104244B276F93B3070EB75_12</vt:lpwstr>
  </property>
</Properties>
</file>