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E0EFC" w:rsidRDefault="00CE0EFC" w:rsidP="00CE0EFC">
      <w:pPr>
        <w:spacing w:line="360" w:lineRule="auto"/>
        <w:jc w:val="left"/>
        <w:rPr>
          <w:rFonts w:ascii="黑体" w:eastAsia="黑体" w:hAnsi="华文细黑" w:hint="eastAsia"/>
          <w:sz w:val="24"/>
        </w:rPr>
      </w:pPr>
      <w:r w:rsidRPr="008F13A4">
        <w:rPr>
          <w:rFonts w:ascii="黑体" w:eastAsia="黑体" w:hAnsi="华文细黑" w:hint="eastAsia"/>
          <w:sz w:val="24"/>
        </w:rPr>
        <w:t>附件</w:t>
      </w:r>
      <w:r>
        <w:rPr>
          <w:rFonts w:ascii="黑体" w:eastAsia="黑体" w:hAnsi="华文细黑" w:hint="eastAsia"/>
          <w:sz w:val="24"/>
        </w:rPr>
        <w:t>7</w:t>
      </w:r>
    </w:p>
    <w:tbl>
      <w:tblPr>
        <w:tblW w:w="0" w:type="auto"/>
        <w:jc w:val="center"/>
        <w:tblLayout w:type="fixed"/>
        <w:tblLook w:val="0000" w:firstRow="0" w:lastRow="0" w:firstColumn="0" w:lastColumn="0" w:noHBand="0" w:noVBand="0"/>
      </w:tblPr>
      <w:tblGrid>
        <w:gridCol w:w="8177"/>
      </w:tblGrid>
      <w:tr w:rsidR="00CE0EFC" w:rsidTr="00F823A1">
        <w:trPr>
          <w:trHeight w:val="1573"/>
          <w:jc w:val="center"/>
        </w:trPr>
        <w:tc>
          <w:tcPr>
            <w:tcW w:w="8177" w:type="dxa"/>
          </w:tcPr>
          <w:p w:rsidR="00CE0EFC" w:rsidRDefault="00CE0EFC" w:rsidP="00F823A1">
            <w:pPr>
              <w:adjustRightInd w:val="0"/>
              <w:snapToGrid w:val="0"/>
              <w:spacing w:beforeLines="50" w:before="156"/>
              <w:jc w:val="center"/>
              <w:rPr>
                <w:rFonts w:eastAsia="黑体"/>
                <w:spacing w:val="20"/>
                <w:sz w:val="44"/>
              </w:rPr>
            </w:pPr>
          </w:p>
          <w:p w:rsidR="00CE0EFC" w:rsidRDefault="00CE0EFC" w:rsidP="00F823A1">
            <w:pPr>
              <w:adjustRightInd w:val="0"/>
              <w:snapToGrid w:val="0"/>
              <w:spacing w:beforeLines="50" w:before="156"/>
              <w:jc w:val="center"/>
              <w:rPr>
                <w:rFonts w:eastAsia="黑体"/>
                <w:spacing w:val="20"/>
                <w:sz w:val="44"/>
              </w:rPr>
            </w:pPr>
          </w:p>
          <w:p w:rsidR="00CE0EFC" w:rsidRDefault="00CE0EFC" w:rsidP="00F823A1">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中国造船工程学会标准</w:t>
            </w:r>
          </w:p>
          <w:p w:rsidR="00CE0EFC" w:rsidRDefault="00CE0EFC" w:rsidP="00F823A1">
            <w:pPr>
              <w:adjustRightInd w:val="0"/>
              <w:snapToGrid w:val="0"/>
              <w:spacing w:beforeLines="50" w:before="156"/>
              <w:jc w:val="center"/>
              <w:rPr>
                <w:rFonts w:eastAsia="黑体"/>
                <w:spacing w:val="20"/>
                <w:sz w:val="44"/>
              </w:rPr>
            </w:pPr>
            <w:r w:rsidRPr="006A5BA9">
              <w:rPr>
                <w:rFonts w:ascii="宋体" w:eastAsia="黑体" w:hAnsi="Calibri" w:hint="eastAsia"/>
                <w:spacing w:val="20"/>
                <w:sz w:val="44"/>
              </w:rPr>
              <w:t>《</w:t>
            </w:r>
            <w:r w:rsidR="001111D5" w:rsidRPr="001111D5">
              <w:rPr>
                <w:rFonts w:eastAsia="黑体" w:hint="eastAsia"/>
                <w:spacing w:val="20"/>
                <w:sz w:val="44"/>
              </w:rPr>
              <w:t>船舶精益设计协同管理及协同平台通用要求</w:t>
            </w:r>
            <w:r w:rsidRPr="006A5BA9">
              <w:rPr>
                <w:rFonts w:ascii="宋体" w:eastAsia="黑体" w:hAnsi="Calibri" w:hint="eastAsia"/>
                <w:spacing w:val="20"/>
                <w:sz w:val="44"/>
              </w:rPr>
              <w:t>》</w:t>
            </w:r>
          </w:p>
          <w:p w:rsidR="00CE0EFC" w:rsidRDefault="00CE0EFC" w:rsidP="00F823A1">
            <w:pPr>
              <w:adjustRightInd w:val="0"/>
              <w:snapToGrid w:val="0"/>
              <w:spacing w:beforeLines="50" w:before="156"/>
              <w:jc w:val="center"/>
              <w:rPr>
                <w:rFonts w:eastAsia="黑体"/>
                <w:spacing w:val="20"/>
                <w:sz w:val="44"/>
              </w:rPr>
            </w:pPr>
          </w:p>
          <w:p w:rsidR="00CE0EFC" w:rsidRDefault="00CE0EFC" w:rsidP="00F823A1">
            <w:pPr>
              <w:adjustRightInd w:val="0"/>
              <w:snapToGrid w:val="0"/>
              <w:spacing w:beforeLines="50" w:before="156"/>
              <w:jc w:val="center"/>
              <w:rPr>
                <w:rFonts w:eastAsia="黑体"/>
                <w:spacing w:val="20"/>
                <w:sz w:val="44"/>
              </w:rPr>
            </w:pPr>
          </w:p>
          <w:p w:rsidR="00CE0EFC" w:rsidRDefault="00CE0EFC" w:rsidP="00F823A1">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编制说明</w:t>
            </w:r>
          </w:p>
          <w:p w:rsidR="00CE0EFC" w:rsidRDefault="00CE0EFC" w:rsidP="00F823A1">
            <w:pPr>
              <w:jc w:val="center"/>
              <w:rPr>
                <w:rFonts w:ascii="宋体" w:eastAsia="黑体" w:hAnsi="Calibri"/>
                <w:spacing w:val="20"/>
                <w:sz w:val="28"/>
              </w:rPr>
            </w:pPr>
          </w:p>
          <w:p w:rsidR="00CE0EFC" w:rsidRDefault="00CE0EFC" w:rsidP="00F823A1">
            <w:pPr>
              <w:jc w:val="center"/>
              <w:rPr>
                <w:rFonts w:ascii="宋体" w:eastAsia="黑体" w:hAnsi="Calibri"/>
                <w:spacing w:val="20"/>
                <w:sz w:val="28"/>
              </w:rPr>
            </w:pPr>
          </w:p>
          <w:p w:rsidR="00CE0EFC" w:rsidRDefault="00CE0EFC" w:rsidP="00F823A1">
            <w:pPr>
              <w:jc w:val="center"/>
              <w:rPr>
                <w:rFonts w:ascii="宋体" w:eastAsia="黑体" w:hAnsi="Calibri"/>
                <w:spacing w:val="20"/>
                <w:sz w:val="28"/>
              </w:rPr>
            </w:pPr>
          </w:p>
          <w:p w:rsidR="00CE0EFC" w:rsidRDefault="00CE0EFC" w:rsidP="00F823A1">
            <w:pPr>
              <w:jc w:val="center"/>
              <w:rPr>
                <w:rFonts w:ascii="宋体" w:eastAsia="黑体" w:hAnsi="Calibri"/>
                <w:spacing w:val="20"/>
                <w:sz w:val="28"/>
              </w:rPr>
            </w:pPr>
          </w:p>
          <w:p w:rsidR="00CE0EFC" w:rsidRPr="00282FCF" w:rsidRDefault="00CE0EFC" w:rsidP="00F823A1">
            <w:pPr>
              <w:jc w:val="center"/>
              <w:rPr>
                <w:rFonts w:ascii="宋体" w:eastAsia="黑体" w:hAnsi="Calibri"/>
                <w:spacing w:val="20"/>
                <w:sz w:val="32"/>
                <w:szCs w:val="32"/>
              </w:rPr>
            </w:pPr>
            <w:r w:rsidRPr="00282FCF">
              <w:rPr>
                <w:rFonts w:ascii="宋体" w:eastAsia="黑体" w:hAnsi="Calibri" w:hint="eastAsia"/>
                <w:spacing w:val="20"/>
                <w:sz w:val="32"/>
                <w:szCs w:val="32"/>
              </w:rPr>
              <w:t>（</w:t>
            </w:r>
            <w:r w:rsidR="004E47F1">
              <w:rPr>
                <w:rFonts w:ascii="黑体" w:eastAsia="黑体" w:hint="eastAsia"/>
                <w:spacing w:val="20"/>
                <w:sz w:val="32"/>
                <w:szCs w:val="32"/>
              </w:rPr>
              <w:t>征求意见</w:t>
            </w:r>
            <w:r w:rsidRPr="00282FCF">
              <w:rPr>
                <w:rFonts w:ascii="宋体" w:eastAsia="黑体" w:hAnsi="Calibri" w:hint="eastAsia"/>
                <w:spacing w:val="20"/>
                <w:sz w:val="32"/>
                <w:szCs w:val="32"/>
              </w:rPr>
              <w:t>稿）</w:t>
            </w:r>
          </w:p>
          <w:p w:rsidR="00CE0EFC" w:rsidRDefault="00CE0EFC" w:rsidP="00F823A1">
            <w:pPr>
              <w:jc w:val="center"/>
              <w:rPr>
                <w:rFonts w:ascii="宋体" w:eastAsia="黑体" w:hAnsi="Calibri"/>
                <w:spacing w:val="20"/>
                <w:sz w:val="28"/>
              </w:rPr>
            </w:pPr>
          </w:p>
          <w:p w:rsidR="00CE0EFC" w:rsidRDefault="00CE0EFC" w:rsidP="00F823A1">
            <w:pPr>
              <w:jc w:val="center"/>
              <w:rPr>
                <w:rFonts w:ascii="宋体" w:eastAsia="黑体" w:hAnsi="Calibri"/>
                <w:spacing w:val="20"/>
                <w:sz w:val="28"/>
              </w:rPr>
            </w:pPr>
          </w:p>
          <w:p w:rsidR="00CE0EFC" w:rsidRDefault="00CE0EFC" w:rsidP="00F823A1">
            <w:pPr>
              <w:jc w:val="center"/>
              <w:rPr>
                <w:rFonts w:ascii="宋体" w:eastAsia="黑体" w:hAnsi="Calibri"/>
                <w:spacing w:val="20"/>
                <w:sz w:val="28"/>
              </w:rPr>
            </w:pPr>
          </w:p>
          <w:p w:rsidR="00CE0EFC" w:rsidRDefault="00CE0EFC" w:rsidP="00F823A1">
            <w:pPr>
              <w:jc w:val="center"/>
              <w:rPr>
                <w:rFonts w:ascii="宋体" w:eastAsia="黑体" w:hAnsi="Calibri"/>
                <w:spacing w:val="20"/>
                <w:sz w:val="28"/>
              </w:rPr>
            </w:pPr>
          </w:p>
          <w:p w:rsidR="00CE0EFC" w:rsidRDefault="00CE0EFC" w:rsidP="00F823A1">
            <w:pPr>
              <w:adjustRightInd w:val="0"/>
              <w:snapToGrid w:val="0"/>
              <w:spacing w:beforeLines="50" w:before="156"/>
              <w:jc w:val="center"/>
              <w:rPr>
                <w:rFonts w:ascii="宋体" w:eastAsia="黑体" w:hAnsi="Calibri"/>
                <w:spacing w:val="20"/>
                <w:sz w:val="44"/>
              </w:rPr>
            </w:pPr>
          </w:p>
          <w:p w:rsidR="00CE0EFC" w:rsidRPr="00282FCF" w:rsidRDefault="001111D5" w:rsidP="00F823A1">
            <w:pPr>
              <w:adjustRightInd w:val="0"/>
              <w:snapToGrid w:val="0"/>
              <w:spacing w:beforeLines="50" w:before="156"/>
              <w:jc w:val="center"/>
              <w:rPr>
                <w:rFonts w:ascii="宋体" w:eastAsia="黑体" w:hAnsi="Calibri"/>
                <w:sz w:val="44"/>
                <w:szCs w:val="44"/>
              </w:rPr>
            </w:pPr>
            <w:r>
              <w:rPr>
                <w:rFonts w:ascii="黑体" w:eastAsia="黑体"/>
                <w:sz w:val="32"/>
                <w:szCs w:val="32"/>
              </w:rPr>
              <w:t>2024</w:t>
            </w:r>
            <w:r w:rsidR="00CE0EFC" w:rsidRPr="00282FCF">
              <w:rPr>
                <w:rFonts w:ascii="黑体" w:eastAsia="黑体" w:hAnsi="Calibri" w:hint="eastAsia"/>
                <w:sz w:val="32"/>
                <w:szCs w:val="32"/>
              </w:rPr>
              <w:t>年</w:t>
            </w:r>
            <w:r>
              <w:rPr>
                <w:rFonts w:ascii="黑体" w:eastAsia="黑体"/>
                <w:sz w:val="32"/>
                <w:szCs w:val="32"/>
              </w:rPr>
              <w:t>7</w:t>
            </w:r>
            <w:r w:rsidR="00CE0EFC" w:rsidRPr="00282FCF">
              <w:rPr>
                <w:rFonts w:ascii="黑体" w:eastAsia="黑体" w:hAnsi="Calibri" w:hint="eastAsia"/>
                <w:sz w:val="32"/>
                <w:szCs w:val="32"/>
              </w:rPr>
              <w:t>月</w:t>
            </w:r>
          </w:p>
        </w:tc>
      </w:tr>
    </w:tbl>
    <w:p w:rsidR="00CE0EFC" w:rsidRDefault="00CE0EFC" w:rsidP="00CE0EFC">
      <w:pPr>
        <w:adjustRightInd w:val="0"/>
        <w:snapToGrid w:val="0"/>
        <w:spacing w:beforeLines="50" w:before="156"/>
        <w:jc w:val="center"/>
        <w:rPr>
          <w:rFonts w:eastAsia="黑体"/>
          <w:spacing w:val="20"/>
          <w:sz w:val="44"/>
        </w:rPr>
        <w:sectPr w:rsidR="00CE0EFC" w:rsidSect="002A5DCC">
          <w:pgSz w:w="11906" w:h="16838"/>
          <w:pgMar w:top="1440" w:right="1800" w:bottom="1440" w:left="1800" w:header="851" w:footer="992" w:gutter="0"/>
          <w:pgNumType w:start="1"/>
          <w:cols w:space="425"/>
          <w:docGrid w:type="lines" w:linePitch="312"/>
        </w:sectPr>
      </w:pPr>
    </w:p>
    <w:p w:rsidR="00CE0EFC" w:rsidRDefault="00CE0EFC" w:rsidP="00CE0EFC">
      <w:pPr>
        <w:spacing w:line="360" w:lineRule="auto"/>
        <w:jc w:val="left"/>
        <w:rPr>
          <w:rFonts w:hAnsiTheme="minorEastAsia" w:hint="eastAsia"/>
          <w:b/>
          <w:sz w:val="24"/>
        </w:rPr>
      </w:pPr>
      <w:r w:rsidRPr="00051A44">
        <w:rPr>
          <w:rFonts w:hAnsiTheme="minorEastAsia" w:hint="eastAsia"/>
          <w:b/>
          <w:sz w:val="24"/>
        </w:rPr>
        <w:lastRenderedPageBreak/>
        <w:t>一、工作简况</w:t>
      </w:r>
    </w:p>
    <w:p w:rsidR="00CE0EFC" w:rsidRDefault="00CE0EFC" w:rsidP="00CE0EFC">
      <w:pPr>
        <w:spacing w:line="360" w:lineRule="auto"/>
        <w:jc w:val="left"/>
        <w:rPr>
          <w:rFonts w:ascii="宋体" w:hAnsi="宋体" w:hint="eastAsia"/>
          <w:b/>
          <w:sz w:val="24"/>
        </w:rPr>
      </w:pPr>
      <w:r>
        <w:rPr>
          <w:rFonts w:ascii="宋体" w:eastAsia="宋体" w:hAnsi="宋体" w:hint="eastAsia"/>
          <w:b/>
          <w:sz w:val="24"/>
        </w:rPr>
        <w:t>（一）</w:t>
      </w:r>
      <w:r w:rsidRPr="00DA4308">
        <w:rPr>
          <w:rFonts w:ascii="宋体" w:eastAsia="宋体" w:hAnsi="宋体" w:hint="eastAsia"/>
          <w:b/>
          <w:sz w:val="24"/>
        </w:rPr>
        <w:t>任务来源</w:t>
      </w:r>
    </w:p>
    <w:p w:rsidR="001111D5" w:rsidRPr="008B3773" w:rsidRDefault="001111D5" w:rsidP="001111D5">
      <w:pPr>
        <w:spacing w:line="360" w:lineRule="auto"/>
        <w:ind w:firstLineChars="200" w:firstLine="480"/>
        <w:jc w:val="left"/>
        <w:rPr>
          <w:rFonts w:hAnsiTheme="minorEastAsia" w:hint="eastAsia"/>
          <w:iCs/>
          <w:sz w:val="24"/>
        </w:rPr>
      </w:pPr>
      <w:r w:rsidRPr="002C475D">
        <w:rPr>
          <w:rFonts w:hAnsiTheme="minorEastAsia" w:hint="eastAsia"/>
          <w:iCs/>
          <w:sz w:val="24"/>
        </w:rPr>
        <w:t>中国造船工程学会标准《</w:t>
      </w:r>
      <w:r w:rsidR="00BD0358" w:rsidRPr="003241D9">
        <w:rPr>
          <w:rFonts w:hint="eastAsia"/>
          <w:sz w:val="24"/>
          <w:szCs w:val="24"/>
        </w:rPr>
        <w:t>船舶精益设计协同管理</w:t>
      </w:r>
      <w:r w:rsidR="00BD0358">
        <w:rPr>
          <w:rFonts w:hint="eastAsia"/>
          <w:sz w:val="24"/>
          <w:szCs w:val="24"/>
        </w:rPr>
        <w:t>及协同平台</w:t>
      </w:r>
      <w:r w:rsidR="00BD0358" w:rsidRPr="003241D9">
        <w:rPr>
          <w:rFonts w:hint="eastAsia"/>
          <w:sz w:val="24"/>
          <w:szCs w:val="24"/>
        </w:rPr>
        <w:t>通用要求</w:t>
      </w:r>
      <w:r w:rsidRPr="002C475D">
        <w:rPr>
          <w:rFonts w:hAnsiTheme="minorEastAsia" w:hint="eastAsia"/>
          <w:iCs/>
          <w:sz w:val="24"/>
        </w:rPr>
        <w:t xml:space="preserve">》（T/CSNAME </w:t>
      </w:r>
      <w:r w:rsidR="00C64E13">
        <w:rPr>
          <w:rFonts w:hAnsiTheme="minorEastAsia" w:hint="eastAsia"/>
          <w:iCs/>
          <w:sz w:val="24"/>
        </w:rPr>
        <w:t>104</w:t>
      </w:r>
      <w:r w:rsidRPr="002C475D">
        <w:rPr>
          <w:rFonts w:hAnsiTheme="minorEastAsia" w:hint="eastAsia"/>
          <w:iCs/>
          <w:sz w:val="24"/>
        </w:rPr>
        <w:t>-</w:t>
      </w:r>
      <w:r w:rsidR="00C64E13">
        <w:rPr>
          <w:rFonts w:hAnsiTheme="minorEastAsia" w:hint="eastAsia"/>
          <w:iCs/>
          <w:sz w:val="24"/>
        </w:rPr>
        <w:t>XXXX</w:t>
      </w:r>
      <w:r w:rsidRPr="002C475D">
        <w:rPr>
          <w:rFonts w:hAnsiTheme="minorEastAsia" w:hint="eastAsia"/>
          <w:iCs/>
          <w:sz w:val="24"/>
        </w:rPr>
        <w:t>）由</w:t>
      </w:r>
      <w:bookmarkStart w:id="0" w:name="OLE_LINK1"/>
      <w:r w:rsidR="00BD0358" w:rsidRPr="008B3773">
        <w:rPr>
          <w:rFonts w:hAnsiTheme="minorEastAsia" w:hint="eastAsia"/>
          <w:iCs/>
          <w:sz w:val="24"/>
        </w:rPr>
        <w:t>中远海运重工有限公司</w:t>
      </w:r>
      <w:bookmarkEnd w:id="0"/>
      <w:r w:rsidR="008B3773" w:rsidRPr="008B3773">
        <w:rPr>
          <w:rFonts w:hAnsiTheme="minorEastAsia" w:hint="eastAsia"/>
          <w:iCs/>
          <w:sz w:val="24"/>
        </w:rPr>
        <w:t>和扬州中远海运重工有限公司</w:t>
      </w:r>
      <w:r w:rsidRPr="002C475D">
        <w:rPr>
          <w:rFonts w:hAnsiTheme="minorEastAsia" w:hint="eastAsia"/>
          <w:iCs/>
          <w:sz w:val="24"/>
        </w:rPr>
        <w:t>主编，编制时间为</w:t>
      </w:r>
      <w:r w:rsidR="004E47F1" w:rsidRPr="002C475D">
        <w:rPr>
          <w:rFonts w:hAnsiTheme="minorEastAsia" w:hint="eastAsia"/>
          <w:iCs/>
          <w:sz w:val="24"/>
        </w:rPr>
        <w:t>202</w:t>
      </w:r>
      <w:r w:rsidR="004E47F1">
        <w:rPr>
          <w:rFonts w:hAnsiTheme="minorEastAsia"/>
          <w:iCs/>
          <w:sz w:val="24"/>
        </w:rPr>
        <w:t>4</w:t>
      </w:r>
      <w:r w:rsidRPr="002C475D">
        <w:rPr>
          <w:rFonts w:hAnsiTheme="minorEastAsia" w:hint="eastAsia"/>
          <w:iCs/>
          <w:sz w:val="24"/>
        </w:rPr>
        <w:t>年</w:t>
      </w:r>
      <w:r w:rsidR="004E47F1">
        <w:rPr>
          <w:rFonts w:hAnsiTheme="minorEastAsia"/>
          <w:iCs/>
          <w:sz w:val="24"/>
        </w:rPr>
        <w:t>1</w:t>
      </w:r>
      <w:r w:rsidRPr="002C475D">
        <w:rPr>
          <w:rFonts w:hAnsiTheme="minorEastAsia" w:hint="eastAsia"/>
          <w:iCs/>
          <w:sz w:val="24"/>
        </w:rPr>
        <w:t>月-</w:t>
      </w:r>
      <w:r w:rsidR="004E47F1" w:rsidRPr="002C475D">
        <w:rPr>
          <w:rFonts w:hAnsiTheme="minorEastAsia" w:hint="eastAsia"/>
          <w:iCs/>
          <w:sz w:val="24"/>
        </w:rPr>
        <w:t>202</w:t>
      </w:r>
      <w:r w:rsidR="00C64E13">
        <w:rPr>
          <w:rFonts w:hAnsiTheme="minorEastAsia" w:hint="eastAsia"/>
          <w:iCs/>
          <w:sz w:val="24"/>
        </w:rPr>
        <w:t>5</w:t>
      </w:r>
      <w:r w:rsidR="004E47F1" w:rsidRPr="002C475D">
        <w:rPr>
          <w:rFonts w:hAnsiTheme="minorEastAsia" w:hint="eastAsia"/>
          <w:iCs/>
          <w:sz w:val="24"/>
        </w:rPr>
        <w:t>年</w:t>
      </w:r>
      <w:r w:rsidR="00C64E13">
        <w:rPr>
          <w:rFonts w:hAnsiTheme="minorEastAsia" w:hint="eastAsia"/>
          <w:iCs/>
          <w:sz w:val="24"/>
        </w:rPr>
        <w:t>X</w:t>
      </w:r>
      <w:r w:rsidRPr="002C475D">
        <w:rPr>
          <w:rFonts w:hAnsiTheme="minorEastAsia" w:hint="eastAsia"/>
          <w:iCs/>
          <w:sz w:val="24"/>
        </w:rPr>
        <w:t>月。</w:t>
      </w:r>
    </w:p>
    <w:p w:rsidR="00CE0EFC" w:rsidRPr="00051A44" w:rsidRDefault="00CE0EFC" w:rsidP="00CE0EFC">
      <w:pPr>
        <w:spacing w:line="360" w:lineRule="auto"/>
        <w:jc w:val="left"/>
        <w:rPr>
          <w:rFonts w:hAnsiTheme="minorEastAsia" w:hint="eastAsia"/>
          <w:b/>
          <w:sz w:val="24"/>
        </w:rPr>
      </w:pPr>
      <w:r>
        <w:rPr>
          <w:rFonts w:ascii="宋体" w:eastAsia="宋体" w:hAnsi="宋体" w:hint="eastAsia"/>
          <w:b/>
          <w:sz w:val="24"/>
        </w:rPr>
        <w:t>（二）</w:t>
      </w:r>
      <w:r w:rsidRPr="001F4845">
        <w:rPr>
          <w:rFonts w:ascii="宋体" w:eastAsia="宋体" w:hAnsi="宋体" w:hint="eastAsia"/>
          <w:b/>
          <w:sz w:val="24"/>
        </w:rPr>
        <w:t>标准的研究、起草过程</w:t>
      </w:r>
    </w:p>
    <w:p w:rsidR="001111D5" w:rsidRDefault="004E47F1" w:rsidP="001111D5">
      <w:pPr>
        <w:spacing w:line="400" w:lineRule="exact"/>
        <w:ind w:firstLineChars="200" w:firstLine="480"/>
        <w:rPr>
          <w:rFonts w:hAnsiTheme="minorEastAsia" w:hint="eastAsia"/>
          <w:iCs/>
          <w:sz w:val="24"/>
        </w:rPr>
      </w:pPr>
      <w:r w:rsidRPr="002C475D">
        <w:rPr>
          <w:rFonts w:hAnsiTheme="minorEastAsia" w:hint="eastAsia"/>
          <w:iCs/>
          <w:sz w:val="24"/>
        </w:rPr>
        <w:t>202</w:t>
      </w:r>
      <w:r>
        <w:rPr>
          <w:rFonts w:hAnsiTheme="minorEastAsia"/>
          <w:iCs/>
          <w:sz w:val="24"/>
        </w:rPr>
        <w:t>4</w:t>
      </w:r>
      <w:r w:rsidR="001111D5" w:rsidRPr="002C475D">
        <w:rPr>
          <w:rFonts w:hAnsiTheme="minorEastAsia" w:hint="eastAsia"/>
          <w:iCs/>
          <w:sz w:val="24"/>
        </w:rPr>
        <w:t>年</w:t>
      </w:r>
      <w:r>
        <w:rPr>
          <w:rFonts w:hAnsiTheme="minorEastAsia"/>
          <w:iCs/>
          <w:sz w:val="24"/>
        </w:rPr>
        <w:t>1</w:t>
      </w:r>
      <w:r w:rsidR="001111D5" w:rsidRPr="002C475D">
        <w:rPr>
          <w:rFonts w:hAnsiTheme="minorEastAsia" w:hint="eastAsia"/>
          <w:iCs/>
          <w:sz w:val="24"/>
        </w:rPr>
        <w:t>月-</w:t>
      </w:r>
      <w:r w:rsidR="00C863CD">
        <w:rPr>
          <w:rFonts w:hAnsiTheme="minorEastAsia"/>
          <w:iCs/>
          <w:sz w:val="24"/>
        </w:rPr>
        <w:t>5</w:t>
      </w:r>
      <w:r w:rsidR="001111D5" w:rsidRPr="002C475D">
        <w:rPr>
          <w:rFonts w:hAnsiTheme="minorEastAsia" w:hint="eastAsia"/>
          <w:iCs/>
          <w:sz w:val="24"/>
        </w:rPr>
        <w:t>月，</w:t>
      </w:r>
      <w:r w:rsidR="000853A7" w:rsidRPr="008B3773">
        <w:rPr>
          <w:rFonts w:hAnsiTheme="minorEastAsia" w:hint="eastAsia"/>
          <w:iCs/>
          <w:sz w:val="24"/>
        </w:rPr>
        <w:t>中远海运重工有限公司和扬州中远海运重工有限公司</w:t>
      </w:r>
      <w:r w:rsidR="001111D5">
        <w:rPr>
          <w:rFonts w:hAnsiTheme="minorEastAsia" w:hint="eastAsia"/>
          <w:iCs/>
          <w:sz w:val="24"/>
        </w:rPr>
        <w:t>成立标准编制组，对</w:t>
      </w:r>
      <w:r w:rsidR="000853A7" w:rsidRPr="008B3773">
        <w:rPr>
          <w:rFonts w:hAnsiTheme="minorEastAsia" w:hint="eastAsia"/>
          <w:iCs/>
          <w:sz w:val="24"/>
        </w:rPr>
        <w:t>中远海运</w:t>
      </w:r>
      <w:r w:rsidR="000853A7">
        <w:rPr>
          <w:rFonts w:hAnsiTheme="minorEastAsia" w:hint="eastAsia"/>
          <w:iCs/>
          <w:sz w:val="24"/>
        </w:rPr>
        <w:t>集团</w:t>
      </w:r>
      <w:r w:rsidR="001111D5" w:rsidRPr="004F6783">
        <w:rPr>
          <w:rFonts w:hAnsiTheme="minorEastAsia" w:hint="eastAsia"/>
          <w:iCs/>
          <w:sz w:val="24"/>
        </w:rPr>
        <w:t>科研项目</w:t>
      </w:r>
      <w:r w:rsidR="001111D5">
        <w:rPr>
          <w:rFonts w:hAnsiTheme="minorEastAsia" w:hint="eastAsia"/>
          <w:iCs/>
          <w:sz w:val="24"/>
        </w:rPr>
        <w:t>中</w:t>
      </w:r>
      <w:r w:rsidR="000853A7">
        <w:rPr>
          <w:rFonts w:hAnsiTheme="minorEastAsia" w:hint="eastAsia"/>
          <w:iCs/>
          <w:sz w:val="24"/>
        </w:rPr>
        <w:t>基于虚拟化客户端异地协同设计系统</w:t>
      </w:r>
      <w:r w:rsidR="001111D5">
        <w:rPr>
          <w:rFonts w:hAnsiTheme="minorEastAsia" w:hint="eastAsia"/>
          <w:iCs/>
          <w:sz w:val="24"/>
        </w:rPr>
        <w:t>的</w:t>
      </w:r>
      <w:r w:rsidR="000853A7">
        <w:rPr>
          <w:rFonts w:hAnsiTheme="minorEastAsia" w:hint="eastAsia"/>
          <w:iCs/>
          <w:sz w:val="24"/>
        </w:rPr>
        <w:t>搭建</w:t>
      </w:r>
      <w:r w:rsidR="001111D5">
        <w:rPr>
          <w:rFonts w:hAnsiTheme="minorEastAsia" w:hint="eastAsia"/>
          <w:iCs/>
          <w:sz w:val="24"/>
        </w:rPr>
        <w:t>方法进行了梳理与总结，明确了标准编制框架与分工。编制组多次召开内部研讨会，完成立项申请书和标准初稿。</w:t>
      </w:r>
    </w:p>
    <w:p w:rsidR="001111D5" w:rsidRDefault="000853A7" w:rsidP="001111D5">
      <w:pPr>
        <w:spacing w:line="400" w:lineRule="exact"/>
        <w:ind w:firstLineChars="200" w:firstLine="480"/>
        <w:rPr>
          <w:rFonts w:hAnsiTheme="minorEastAsia" w:hint="eastAsia"/>
          <w:iCs/>
          <w:sz w:val="24"/>
        </w:rPr>
      </w:pPr>
      <w:r w:rsidRPr="002C475D">
        <w:rPr>
          <w:rFonts w:hAnsiTheme="minorEastAsia" w:hint="eastAsia"/>
          <w:iCs/>
          <w:sz w:val="24"/>
        </w:rPr>
        <w:t>202</w:t>
      </w:r>
      <w:r>
        <w:rPr>
          <w:rFonts w:hAnsiTheme="minorEastAsia"/>
          <w:iCs/>
          <w:sz w:val="24"/>
        </w:rPr>
        <w:t>4</w:t>
      </w:r>
      <w:r w:rsidR="001111D5" w:rsidRPr="002C475D">
        <w:rPr>
          <w:rFonts w:hAnsiTheme="minorEastAsia" w:hint="eastAsia"/>
          <w:iCs/>
          <w:sz w:val="24"/>
        </w:rPr>
        <w:t>年</w:t>
      </w:r>
      <w:r w:rsidR="00A76AD9">
        <w:rPr>
          <w:rFonts w:hAnsiTheme="minorEastAsia"/>
          <w:iCs/>
          <w:sz w:val="24"/>
        </w:rPr>
        <w:t>6</w:t>
      </w:r>
      <w:r w:rsidR="001111D5" w:rsidRPr="002C475D">
        <w:rPr>
          <w:rFonts w:hAnsiTheme="minorEastAsia" w:hint="eastAsia"/>
          <w:iCs/>
          <w:sz w:val="24"/>
        </w:rPr>
        <w:t>月，标准化学术委员会组织有关专家召开标准立项评审会，《</w:t>
      </w:r>
      <w:r w:rsidR="00A76AD9" w:rsidRPr="003241D9">
        <w:rPr>
          <w:rFonts w:hint="eastAsia"/>
          <w:sz w:val="24"/>
          <w:szCs w:val="24"/>
        </w:rPr>
        <w:t>船舶精益设计协同管理</w:t>
      </w:r>
      <w:r w:rsidR="00A76AD9">
        <w:rPr>
          <w:rFonts w:hint="eastAsia"/>
          <w:sz w:val="24"/>
          <w:szCs w:val="24"/>
        </w:rPr>
        <w:t>及协同平台</w:t>
      </w:r>
      <w:r w:rsidR="00A76AD9" w:rsidRPr="003241D9">
        <w:rPr>
          <w:rFonts w:hint="eastAsia"/>
          <w:sz w:val="24"/>
          <w:szCs w:val="24"/>
        </w:rPr>
        <w:t>通用要求</w:t>
      </w:r>
      <w:r w:rsidR="001111D5" w:rsidRPr="002C475D">
        <w:rPr>
          <w:rFonts w:hAnsiTheme="minorEastAsia" w:hint="eastAsia"/>
          <w:iCs/>
          <w:sz w:val="24"/>
        </w:rPr>
        <w:t>》正式立项，并于并于中国造船工程学会官网完成立项公示。</w:t>
      </w:r>
    </w:p>
    <w:p w:rsidR="001111D5" w:rsidRPr="001111D5" w:rsidRDefault="00A76AD9" w:rsidP="004E47F1">
      <w:pPr>
        <w:spacing w:line="400" w:lineRule="exact"/>
        <w:ind w:firstLineChars="200" w:firstLine="480"/>
        <w:rPr>
          <w:rFonts w:hAnsiTheme="minorEastAsia" w:hint="eastAsia"/>
          <w:sz w:val="24"/>
        </w:rPr>
      </w:pPr>
      <w:r w:rsidRPr="002C475D">
        <w:rPr>
          <w:rFonts w:hAnsiTheme="minorEastAsia" w:hint="eastAsia"/>
          <w:iCs/>
          <w:sz w:val="24"/>
        </w:rPr>
        <w:t>202</w:t>
      </w:r>
      <w:r>
        <w:rPr>
          <w:rFonts w:hAnsiTheme="minorEastAsia"/>
          <w:iCs/>
          <w:sz w:val="24"/>
        </w:rPr>
        <w:t>4</w:t>
      </w:r>
      <w:r w:rsidR="001111D5" w:rsidRPr="002C475D">
        <w:rPr>
          <w:rFonts w:hAnsiTheme="minorEastAsia" w:hint="eastAsia"/>
          <w:iCs/>
          <w:sz w:val="24"/>
        </w:rPr>
        <w:t>年</w:t>
      </w:r>
      <w:r>
        <w:rPr>
          <w:rFonts w:hAnsiTheme="minorEastAsia"/>
          <w:iCs/>
          <w:sz w:val="24"/>
        </w:rPr>
        <w:t>7</w:t>
      </w:r>
      <w:r w:rsidR="001111D5" w:rsidRPr="002C475D">
        <w:rPr>
          <w:rFonts w:hAnsiTheme="minorEastAsia" w:hint="eastAsia"/>
          <w:iCs/>
          <w:sz w:val="24"/>
        </w:rPr>
        <w:t>月，编制组对专家</w:t>
      </w:r>
      <w:r w:rsidR="001111D5">
        <w:rPr>
          <w:rFonts w:hAnsiTheme="minorEastAsia" w:hint="eastAsia"/>
          <w:iCs/>
          <w:sz w:val="24"/>
        </w:rPr>
        <w:t>意见</w:t>
      </w:r>
      <w:r w:rsidR="001111D5" w:rsidRPr="002C475D">
        <w:rPr>
          <w:rFonts w:hAnsiTheme="minorEastAsia" w:hint="eastAsia"/>
          <w:iCs/>
          <w:sz w:val="24"/>
        </w:rPr>
        <w:t>逐一进行讨论，一共</w:t>
      </w:r>
      <w:r>
        <w:rPr>
          <w:rFonts w:hAnsiTheme="minorEastAsia"/>
          <w:iCs/>
          <w:sz w:val="24"/>
        </w:rPr>
        <w:t>18</w:t>
      </w:r>
      <w:r w:rsidR="001111D5" w:rsidRPr="002C475D">
        <w:rPr>
          <w:rFonts w:hAnsiTheme="minorEastAsia" w:hint="eastAsia"/>
          <w:iCs/>
          <w:sz w:val="24"/>
        </w:rPr>
        <w:t>条意见，其中采纳</w:t>
      </w:r>
      <w:r w:rsidR="000C3129">
        <w:rPr>
          <w:rFonts w:hAnsiTheme="minorEastAsia"/>
          <w:iCs/>
          <w:sz w:val="24"/>
        </w:rPr>
        <w:t>12</w:t>
      </w:r>
      <w:r w:rsidR="001111D5" w:rsidRPr="002C475D">
        <w:rPr>
          <w:rFonts w:hAnsiTheme="minorEastAsia" w:hint="eastAsia"/>
          <w:iCs/>
          <w:sz w:val="24"/>
        </w:rPr>
        <w:t>条，部分采纳</w:t>
      </w:r>
      <w:r w:rsidR="001111D5">
        <w:rPr>
          <w:rFonts w:hAnsiTheme="minorEastAsia"/>
          <w:iCs/>
          <w:sz w:val="24"/>
        </w:rPr>
        <w:t>2</w:t>
      </w:r>
      <w:r w:rsidR="001111D5" w:rsidRPr="002C475D">
        <w:rPr>
          <w:rFonts w:hAnsiTheme="minorEastAsia" w:hint="eastAsia"/>
          <w:iCs/>
          <w:sz w:val="24"/>
        </w:rPr>
        <w:t>条,不采纳</w:t>
      </w:r>
      <w:r w:rsidR="000C3129">
        <w:rPr>
          <w:rFonts w:hAnsiTheme="minorEastAsia"/>
          <w:iCs/>
          <w:sz w:val="24"/>
        </w:rPr>
        <w:t>4</w:t>
      </w:r>
      <w:r w:rsidR="001111D5" w:rsidRPr="002C475D">
        <w:rPr>
          <w:rFonts w:hAnsiTheme="minorEastAsia" w:hint="eastAsia"/>
          <w:iCs/>
          <w:sz w:val="24"/>
        </w:rPr>
        <w:t>条。编制组根据意见修改完善标准形成征求意见稿和编制说明（征求意见稿）。</w:t>
      </w:r>
    </w:p>
    <w:p w:rsidR="00CE0EFC" w:rsidRDefault="00CE0EFC" w:rsidP="00CE0EFC">
      <w:pPr>
        <w:spacing w:line="360" w:lineRule="auto"/>
        <w:jc w:val="left"/>
        <w:rPr>
          <w:rFonts w:hAnsiTheme="minorEastAsia" w:hint="eastAsia"/>
          <w:b/>
          <w:sz w:val="24"/>
        </w:rPr>
      </w:pPr>
      <w:r w:rsidRPr="008744BD">
        <w:rPr>
          <w:rFonts w:hAnsiTheme="minorEastAsia" w:hint="eastAsia"/>
          <w:b/>
          <w:sz w:val="24"/>
        </w:rPr>
        <w:t>二、标准编制原则及主要技术内容</w:t>
      </w:r>
    </w:p>
    <w:p w:rsidR="00CE0EFC" w:rsidRDefault="00CE0EFC" w:rsidP="00CE0EFC">
      <w:pPr>
        <w:spacing w:line="360" w:lineRule="auto"/>
        <w:jc w:val="left"/>
        <w:rPr>
          <w:rFonts w:ascii="宋体" w:hAnsi="宋体" w:hint="eastAsia"/>
          <w:b/>
          <w:sz w:val="24"/>
        </w:rPr>
      </w:pPr>
      <w:r>
        <w:rPr>
          <w:rFonts w:ascii="宋体" w:eastAsia="宋体" w:hAnsi="宋体" w:hint="eastAsia"/>
          <w:b/>
          <w:sz w:val="24"/>
        </w:rPr>
        <w:t>（一）</w:t>
      </w:r>
      <w:r>
        <w:rPr>
          <w:rFonts w:ascii="宋体" w:hAnsi="宋体" w:hint="eastAsia"/>
          <w:b/>
          <w:sz w:val="24"/>
        </w:rPr>
        <w:t>编制原则</w:t>
      </w:r>
    </w:p>
    <w:p w:rsidR="001111D5" w:rsidRDefault="001111D5" w:rsidP="001111D5">
      <w:pPr>
        <w:spacing w:line="360" w:lineRule="auto"/>
        <w:ind w:firstLineChars="200" w:firstLine="480"/>
        <w:jc w:val="left"/>
        <w:rPr>
          <w:rFonts w:hAnsiTheme="minorEastAsia" w:hint="eastAsia"/>
          <w:iCs/>
          <w:sz w:val="24"/>
        </w:rPr>
      </w:pPr>
      <w:r>
        <w:rPr>
          <w:rFonts w:hAnsiTheme="minorEastAsia" w:hint="eastAsia"/>
          <w:iCs/>
          <w:sz w:val="24"/>
        </w:rPr>
        <w:t>1</w:t>
      </w:r>
      <w:r>
        <w:rPr>
          <w:rFonts w:hAnsiTheme="minorEastAsia"/>
          <w:iCs/>
          <w:sz w:val="24"/>
        </w:rPr>
        <w:t>.</w:t>
      </w:r>
      <w:r>
        <w:rPr>
          <w:rFonts w:hAnsiTheme="minorEastAsia" w:hint="eastAsia"/>
          <w:iCs/>
          <w:sz w:val="24"/>
        </w:rPr>
        <w:t>规范性</w:t>
      </w:r>
    </w:p>
    <w:p w:rsidR="001111D5" w:rsidRDefault="001111D5" w:rsidP="00FC4080">
      <w:pPr>
        <w:spacing w:line="360" w:lineRule="auto"/>
        <w:ind w:firstLineChars="200" w:firstLine="480"/>
        <w:rPr>
          <w:rFonts w:hAnsiTheme="minorEastAsia" w:hint="eastAsia"/>
          <w:sz w:val="24"/>
        </w:rPr>
      </w:pPr>
      <w:r>
        <w:rPr>
          <w:rFonts w:hAnsiTheme="minorEastAsia" w:hint="eastAsia"/>
          <w:sz w:val="24"/>
        </w:rPr>
        <w:t>本标准</w:t>
      </w:r>
      <w:r w:rsidRPr="00ED45EA">
        <w:rPr>
          <w:rFonts w:hAnsiTheme="minorEastAsia" w:hint="eastAsia"/>
          <w:sz w:val="24"/>
        </w:rPr>
        <w:t>按照</w:t>
      </w:r>
      <w:r w:rsidRPr="00ED45EA">
        <w:rPr>
          <w:rFonts w:hAnsiTheme="minorEastAsia"/>
          <w:sz w:val="24"/>
        </w:rPr>
        <w:t>GB/T 1.1－2020</w:t>
      </w:r>
      <w:r w:rsidRPr="00ED45EA">
        <w:rPr>
          <w:rFonts w:hAnsiTheme="minorEastAsia" w:hint="eastAsia"/>
          <w:sz w:val="24"/>
        </w:rPr>
        <w:t>《标准化工作导则第</w:t>
      </w:r>
      <w:r w:rsidRPr="00ED45EA">
        <w:rPr>
          <w:rFonts w:hAnsiTheme="minorEastAsia"/>
          <w:sz w:val="24"/>
        </w:rPr>
        <w:t xml:space="preserve">1 </w:t>
      </w:r>
      <w:r w:rsidRPr="00ED45EA">
        <w:rPr>
          <w:rFonts w:hAnsiTheme="minorEastAsia" w:hint="eastAsia"/>
          <w:sz w:val="24"/>
        </w:rPr>
        <w:t>部分：标准化文件的结构和起草规则》</w:t>
      </w:r>
      <w:r>
        <w:rPr>
          <w:rFonts w:hAnsiTheme="minorEastAsia" w:hint="eastAsia"/>
          <w:sz w:val="24"/>
        </w:rPr>
        <w:t>和</w:t>
      </w:r>
      <w:r w:rsidR="00C863CD" w:rsidRPr="00C863CD">
        <w:rPr>
          <w:rFonts w:hAnsiTheme="minorEastAsia" w:hint="eastAsia"/>
          <w:sz w:val="24"/>
        </w:rPr>
        <w:t>GBT 20004.1-2016《团体标准化  第1部分：良好行为指南》</w:t>
      </w:r>
      <w:r w:rsidRPr="00ED45EA">
        <w:rPr>
          <w:rFonts w:hAnsiTheme="minorEastAsia" w:hint="eastAsia"/>
          <w:sz w:val="24"/>
        </w:rPr>
        <w:t>要求进行编写。</w:t>
      </w:r>
    </w:p>
    <w:p w:rsidR="001111D5" w:rsidRDefault="001111D5" w:rsidP="001111D5">
      <w:pPr>
        <w:spacing w:line="360" w:lineRule="auto"/>
        <w:ind w:firstLineChars="200" w:firstLine="480"/>
        <w:jc w:val="left"/>
        <w:rPr>
          <w:rFonts w:hAnsiTheme="minorEastAsia" w:hint="eastAsia"/>
          <w:iCs/>
          <w:sz w:val="24"/>
        </w:rPr>
      </w:pPr>
      <w:r>
        <w:rPr>
          <w:rFonts w:hAnsiTheme="minorEastAsia"/>
          <w:iCs/>
          <w:sz w:val="24"/>
        </w:rPr>
        <w:t>2.</w:t>
      </w:r>
      <w:r>
        <w:rPr>
          <w:rFonts w:hAnsiTheme="minorEastAsia" w:hint="eastAsia"/>
          <w:iCs/>
          <w:sz w:val="24"/>
        </w:rPr>
        <w:t>先进性</w:t>
      </w:r>
    </w:p>
    <w:p w:rsidR="00932313" w:rsidRDefault="001111D5" w:rsidP="00FC4080">
      <w:pPr>
        <w:spacing w:line="360" w:lineRule="auto"/>
        <w:ind w:firstLineChars="200" w:firstLine="480"/>
        <w:rPr>
          <w:rFonts w:hAnsiTheme="minorEastAsia" w:hint="eastAsia"/>
          <w:iCs/>
          <w:sz w:val="24"/>
        </w:rPr>
      </w:pPr>
      <w:r w:rsidRPr="00A61CC4">
        <w:rPr>
          <w:rFonts w:hAnsiTheme="minorEastAsia" w:hint="eastAsia"/>
          <w:iCs/>
          <w:sz w:val="24"/>
        </w:rPr>
        <w:t>本标准的编制立足于国内</w:t>
      </w:r>
      <w:r w:rsidR="00932313">
        <w:rPr>
          <w:rFonts w:hAnsiTheme="minorEastAsia" w:hint="eastAsia"/>
          <w:iCs/>
          <w:sz w:val="24"/>
        </w:rPr>
        <w:t>船舶设计</w:t>
      </w:r>
      <w:r w:rsidRPr="00A61CC4">
        <w:rPr>
          <w:rFonts w:hAnsiTheme="minorEastAsia" w:hint="eastAsia"/>
          <w:iCs/>
          <w:sz w:val="24"/>
        </w:rPr>
        <w:t>的现状，</w:t>
      </w:r>
      <w:r w:rsidRPr="00BE4D11">
        <w:rPr>
          <w:rFonts w:hAnsiTheme="minorEastAsia" w:hint="eastAsia"/>
          <w:iCs/>
          <w:sz w:val="24"/>
        </w:rPr>
        <w:t>通过</w:t>
      </w:r>
      <w:r>
        <w:rPr>
          <w:rFonts w:hAnsiTheme="minorEastAsia" w:hint="eastAsia"/>
          <w:iCs/>
          <w:sz w:val="24"/>
        </w:rPr>
        <w:t>对</w:t>
      </w:r>
      <w:r w:rsidR="00FC4080">
        <w:rPr>
          <w:rFonts w:hAnsiTheme="minorEastAsia" w:hint="eastAsia"/>
          <w:iCs/>
          <w:sz w:val="24"/>
        </w:rPr>
        <w:t>基于虚拟化客户端异地协同设计系统的搭建方法的梳理与总结</w:t>
      </w:r>
      <w:r w:rsidRPr="00BE4D11">
        <w:rPr>
          <w:rFonts w:hAnsiTheme="minorEastAsia" w:hint="eastAsia"/>
          <w:iCs/>
          <w:sz w:val="24"/>
        </w:rPr>
        <w:t>，固化</w:t>
      </w:r>
      <w:r w:rsidR="00FC4080">
        <w:rPr>
          <w:rFonts w:hAnsiTheme="minorEastAsia" w:hint="eastAsia"/>
          <w:iCs/>
          <w:sz w:val="24"/>
        </w:rPr>
        <w:t>设计协同管理流程和协同平台搭建方法，</w:t>
      </w:r>
      <w:r w:rsidRPr="00BE4D11">
        <w:rPr>
          <w:rFonts w:hAnsiTheme="minorEastAsia" w:hint="eastAsia"/>
          <w:iCs/>
          <w:sz w:val="24"/>
        </w:rPr>
        <w:t>提炼</w:t>
      </w:r>
      <w:r w:rsidR="00FC4080">
        <w:rPr>
          <w:rFonts w:hAnsiTheme="minorEastAsia" w:hint="eastAsia"/>
          <w:iCs/>
          <w:sz w:val="24"/>
        </w:rPr>
        <w:t>出通用</w:t>
      </w:r>
      <w:r w:rsidRPr="00BE4D11">
        <w:rPr>
          <w:rFonts w:hAnsiTheme="minorEastAsia" w:hint="eastAsia"/>
          <w:iCs/>
          <w:sz w:val="24"/>
        </w:rPr>
        <w:t>要求</w:t>
      </w:r>
      <w:r w:rsidR="00FC4080">
        <w:rPr>
          <w:rFonts w:hAnsiTheme="minorEastAsia" w:hint="eastAsia"/>
          <w:iCs/>
          <w:sz w:val="24"/>
        </w:rPr>
        <w:t>。</w:t>
      </w:r>
      <w:r w:rsidR="00932313" w:rsidRPr="00E0362A">
        <w:rPr>
          <w:rFonts w:hint="eastAsia"/>
          <w:sz w:val="24"/>
          <w:szCs w:val="24"/>
        </w:rPr>
        <w:t>本标准的制定对船舶制造企业进行船舶精益设计、船舶设计信息化管理、协同设计管理方案实施提供了重要依据和参考。</w:t>
      </w:r>
    </w:p>
    <w:p w:rsidR="001111D5" w:rsidRPr="001111D5" w:rsidRDefault="001111D5" w:rsidP="001111D5">
      <w:pPr>
        <w:spacing w:line="360" w:lineRule="auto"/>
        <w:ind w:firstLineChars="200" w:firstLine="480"/>
        <w:jc w:val="left"/>
        <w:rPr>
          <w:rFonts w:hAnsiTheme="minorEastAsia" w:hint="eastAsia"/>
          <w:sz w:val="24"/>
        </w:rPr>
      </w:pPr>
      <w:r>
        <w:rPr>
          <w:rFonts w:hAnsiTheme="minorEastAsia"/>
          <w:iCs/>
          <w:sz w:val="24"/>
        </w:rPr>
        <w:t>3.</w:t>
      </w:r>
      <w:r>
        <w:rPr>
          <w:rFonts w:ascii="宋体" w:eastAsia="宋体" w:hAnsi="宋体" w:hint="eastAsia"/>
          <w:iCs/>
          <w:sz w:val="24"/>
        </w:rPr>
        <w:t>本标准提出的产品要求与国家、行业标准中的产品标准要求协调统一。</w:t>
      </w:r>
    </w:p>
    <w:p w:rsidR="00CE0EFC" w:rsidRDefault="00CE0EFC" w:rsidP="00CE0EFC">
      <w:pPr>
        <w:spacing w:line="360" w:lineRule="auto"/>
        <w:jc w:val="left"/>
        <w:rPr>
          <w:rFonts w:ascii="宋体" w:hAnsi="宋体" w:hint="eastAsia"/>
          <w:b/>
          <w:sz w:val="24"/>
        </w:rPr>
      </w:pPr>
      <w:r>
        <w:rPr>
          <w:rFonts w:ascii="宋体" w:hAnsi="宋体" w:hint="eastAsia"/>
          <w:b/>
          <w:sz w:val="24"/>
        </w:rPr>
        <w:t>（二）</w:t>
      </w:r>
      <w:r w:rsidRPr="005E01D2">
        <w:rPr>
          <w:rFonts w:ascii="宋体" w:hAnsi="宋体" w:hint="eastAsia"/>
          <w:b/>
          <w:sz w:val="24"/>
        </w:rPr>
        <w:t>标准主要内容</w:t>
      </w:r>
    </w:p>
    <w:p w:rsidR="00C863CD" w:rsidRDefault="00C863CD" w:rsidP="00EE0155">
      <w:pPr>
        <w:spacing w:line="360" w:lineRule="auto"/>
        <w:ind w:firstLineChars="200" w:firstLine="480"/>
        <w:rPr>
          <w:sz w:val="24"/>
          <w:szCs w:val="24"/>
        </w:rPr>
      </w:pPr>
      <w:r w:rsidRPr="006E4E2B">
        <w:rPr>
          <w:rFonts w:hint="eastAsia"/>
          <w:sz w:val="24"/>
          <w:szCs w:val="24"/>
        </w:rPr>
        <w:t>本标准</w:t>
      </w:r>
      <w:r w:rsidRPr="00E0362A">
        <w:rPr>
          <w:rFonts w:hint="eastAsia"/>
          <w:sz w:val="24"/>
          <w:szCs w:val="24"/>
        </w:rPr>
        <w:t>适用于船舶精益设计</w:t>
      </w:r>
      <w:r w:rsidRPr="006E4E2B">
        <w:rPr>
          <w:rFonts w:hint="eastAsia"/>
          <w:sz w:val="24"/>
          <w:szCs w:val="24"/>
        </w:rPr>
        <w:t>参与方在协同平台支持下的协同管理</w:t>
      </w:r>
      <w:r>
        <w:rPr>
          <w:rFonts w:hint="eastAsia"/>
          <w:sz w:val="24"/>
          <w:szCs w:val="24"/>
        </w:rPr>
        <w:t>。</w:t>
      </w:r>
    </w:p>
    <w:p w:rsidR="00C863CD" w:rsidRPr="001111D5" w:rsidRDefault="00EE0155" w:rsidP="00EE0155">
      <w:pPr>
        <w:spacing w:line="360" w:lineRule="auto"/>
        <w:ind w:firstLineChars="200" w:firstLine="480"/>
        <w:rPr>
          <w:rFonts w:hAnsiTheme="minorEastAsia" w:hint="eastAsia"/>
          <w:sz w:val="24"/>
        </w:rPr>
      </w:pPr>
      <w:r w:rsidRPr="00DE5F6E">
        <w:rPr>
          <w:rFonts w:hint="eastAsia"/>
          <w:sz w:val="24"/>
          <w:szCs w:val="24"/>
        </w:rPr>
        <w:t>本标准规定了船舶精益设计协同管理及协同平台的</w:t>
      </w:r>
      <w:r>
        <w:rPr>
          <w:rFonts w:hint="eastAsia"/>
          <w:sz w:val="24"/>
          <w:szCs w:val="24"/>
        </w:rPr>
        <w:t>通用</w:t>
      </w:r>
      <w:r w:rsidRPr="00DE5F6E">
        <w:rPr>
          <w:rFonts w:hint="eastAsia"/>
          <w:sz w:val="24"/>
          <w:szCs w:val="24"/>
        </w:rPr>
        <w:t>要求</w:t>
      </w:r>
      <w:r>
        <w:rPr>
          <w:rFonts w:hint="eastAsia"/>
          <w:sz w:val="24"/>
          <w:szCs w:val="24"/>
        </w:rPr>
        <w:t>，</w:t>
      </w:r>
      <w:r w:rsidRPr="00E0362A">
        <w:rPr>
          <w:rFonts w:hint="eastAsia"/>
          <w:sz w:val="24"/>
          <w:szCs w:val="24"/>
        </w:rPr>
        <w:t>主要包括</w:t>
      </w:r>
      <w:r>
        <w:rPr>
          <w:rFonts w:hint="eastAsia"/>
          <w:sz w:val="24"/>
          <w:szCs w:val="24"/>
        </w:rPr>
        <w:t>协同</w:t>
      </w:r>
      <w:r>
        <w:rPr>
          <w:rFonts w:hint="eastAsia"/>
          <w:sz w:val="24"/>
          <w:szCs w:val="24"/>
        </w:rPr>
        <w:lastRenderedPageBreak/>
        <w:t>设计模式要求、协同环境要求、数据协同要求、协同接口要求、协同兼容性要求、数据安全性要求、协同管理流程、各设计阶段协同管理要求以及协同平台体系架构。</w:t>
      </w:r>
    </w:p>
    <w:p w:rsidR="00CE0EFC" w:rsidRDefault="00CE0EFC" w:rsidP="00CE0EFC">
      <w:pPr>
        <w:spacing w:line="360" w:lineRule="auto"/>
        <w:jc w:val="left"/>
        <w:rPr>
          <w:rFonts w:hAnsiTheme="minorEastAsia" w:hint="eastAsia"/>
          <w:b/>
          <w:sz w:val="24"/>
        </w:rPr>
      </w:pPr>
      <w:r>
        <w:rPr>
          <w:rFonts w:ascii="宋体" w:hAnsi="宋体" w:hint="eastAsia"/>
          <w:b/>
          <w:sz w:val="24"/>
        </w:rPr>
        <w:t>（三）主要技术指标确定依据</w:t>
      </w:r>
    </w:p>
    <w:p w:rsidR="001111D5" w:rsidRPr="004D2E6E" w:rsidRDefault="004D2E6E" w:rsidP="004D2E6E">
      <w:pPr>
        <w:spacing w:line="360" w:lineRule="auto"/>
        <w:ind w:firstLineChars="200" w:firstLine="480"/>
        <w:rPr>
          <w:sz w:val="24"/>
          <w:szCs w:val="24"/>
        </w:rPr>
      </w:pPr>
      <w:r>
        <w:rPr>
          <w:rFonts w:hint="eastAsia"/>
          <w:sz w:val="24"/>
          <w:szCs w:val="24"/>
        </w:rPr>
        <w:t>无</w:t>
      </w:r>
    </w:p>
    <w:p w:rsidR="00CE0EFC" w:rsidRDefault="00CE0EFC" w:rsidP="00CE0EFC">
      <w:pPr>
        <w:spacing w:line="360" w:lineRule="auto"/>
        <w:jc w:val="left"/>
        <w:rPr>
          <w:rFonts w:hAnsiTheme="minorEastAsia" w:hint="eastAsia"/>
          <w:b/>
          <w:sz w:val="24"/>
        </w:rPr>
      </w:pPr>
      <w:r w:rsidRPr="005E01D2">
        <w:rPr>
          <w:rFonts w:hAnsiTheme="minorEastAsia" w:hint="eastAsia"/>
          <w:b/>
          <w:sz w:val="24"/>
        </w:rPr>
        <w:t>三、主要试验（验证）</w:t>
      </w:r>
      <w:r>
        <w:rPr>
          <w:rFonts w:hAnsiTheme="minorEastAsia" w:hint="eastAsia"/>
          <w:b/>
          <w:sz w:val="24"/>
        </w:rPr>
        <w:t>情况</w:t>
      </w:r>
      <w:r w:rsidRPr="005E01D2">
        <w:rPr>
          <w:rFonts w:hAnsiTheme="minorEastAsia" w:hint="eastAsia"/>
          <w:b/>
          <w:sz w:val="24"/>
        </w:rPr>
        <w:t>分析</w:t>
      </w:r>
    </w:p>
    <w:p w:rsidR="001111D5" w:rsidRPr="001111D5" w:rsidRDefault="00446F85" w:rsidP="00420C99">
      <w:pPr>
        <w:spacing w:line="360" w:lineRule="auto"/>
        <w:ind w:firstLineChars="200" w:firstLine="480"/>
        <w:rPr>
          <w:rFonts w:hAnsiTheme="minorEastAsia" w:hint="eastAsia"/>
          <w:sz w:val="24"/>
        </w:rPr>
      </w:pPr>
      <w:r w:rsidRPr="00A73B67">
        <w:rPr>
          <w:rFonts w:hAnsiTheme="minorEastAsia" w:hint="eastAsia"/>
          <w:iCs/>
          <w:sz w:val="24"/>
        </w:rPr>
        <w:t>本标准中涉及到的</w:t>
      </w:r>
      <w:r>
        <w:rPr>
          <w:rFonts w:hAnsiTheme="minorEastAsia" w:hint="eastAsia"/>
          <w:iCs/>
          <w:sz w:val="24"/>
        </w:rPr>
        <w:t>内容</w:t>
      </w:r>
      <w:r w:rsidRPr="00A73B67">
        <w:rPr>
          <w:rFonts w:hAnsiTheme="minorEastAsia" w:hint="eastAsia"/>
          <w:iCs/>
          <w:sz w:val="24"/>
        </w:rPr>
        <w:t>已经在</w:t>
      </w:r>
      <w:r w:rsidR="00364C30">
        <w:rPr>
          <w:rFonts w:hAnsiTheme="minorEastAsia" w:hint="eastAsia"/>
          <w:iCs/>
          <w:sz w:val="24"/>
        </w:rPr>
        <w:t>中远海运重工</w:t>
      </w:r>
      <w:r>
        <w:rPr>
          <w:rFonts w:hAnsiTheme="minorEastAsia" w:hint="eastAsia"/>
          <w:iCs/>
          <w:sz w:val="24"/>
        </w:rPr>
        <w:t>设计研究院、扬州中远海运重工技术本部和舟山中远海运重工技术中心的报价项目、科研项目和建造项目</w:t>
      </w:r>
      <w:r w:rsidRPr="00A73B67">
        <w:rPr>
          <w:rFonts w:hAnsiTheme="minorEastAsia" w:hint="eastAsia"/>
          <w:iCs/>
          <w:sz w:val="24"/>
        </w:rPr>
        <w:t>中得到应用，经过验证，</w:t>
      </w:r>
      <w:r>
        <w:rPr>
          <w:rFonts w:hAnsiTheme="minorEastAsia" w:hint="eastAsia"/>
          <w:iCs/>
          <w:sz w:val="24"/>
        </w:rPr>
        <w:t>基本满足了设计管理使用要求，规范了设计流程，实现了异地协同设计，</w:t>
      </w:r>
      <w:r w:rsidR="007012E9" w:rsidRPr="00A73B67">
        <w:rPr>
          <w:rFonts w:hAnsiTheme="minorEastAsia" w:hint="eastAsia"/>
          <w:iCs/>
          <w:sz w:val="24"/>
        </w:rPr>
        <w:t>相关</w:t>
      </w:r>
      <w:r w:rsidR="007012E9">
        <w:rPr>
          <w:rFonts w:hAnsiTheme="minorEastAsia" w:hint="eastAsia"/>
          <w:iCs/>
          <w:sz w:val="24"/>
        </w:rPr>
        <w:t>科研</w:t>
      </w:r>
      <w:r w:rsidR="007012E9" w:rsidRPr="00A73B67">
        <w:rPr>
          <w:rFonts w:hAnsiTheme="minorEastAsia" w:hint="eastAsia"/>
          <w:iCs/>
          <w:sz w:val="24"/>
        </w:rPr>
        <w:t>项目已经结题</w:t>
      </w:r>
      <w:r w:rsidR="007012E9">
        <w:rPr>
          <w:rFonts w:hAnsiTheme="minorEastAsia" w:hint="eastAsia"/>
          <w:iCs/>
          <w:sz w:val="24"/>
        </w:rPr>
        <w:t>，合同项目产品已</w:t>
      </w:r>
      <w:r w:rsidR="007012E9" w:rsidRPr="00A73B67">
        <w:rPr>
          <w:rFonts w:hAnsiTheme="minorEastAsia" w:hint="eastAsia"/>
          <w:iCs/>
          <w:sz w:val="24"/>
        </w:rPr>
        <w:t>交付用户使用。</w:t>
      </w:r>
    </w:p>
    <w:p w:rsidR="00CE0EFC" w:rsidRPr="004E139C" w:rsidRDefault="00CE0EFC" w:rsidP="00CE0EFC">
      <w:pPr>
        <w:spacing w:line="360" w:lineRule="auto"/>
        <w:jc w:val="left"/>
        <w:rPr>
          <w:rFonts w:hAnsiTheme="minorEastAsia" w:hint="eastAsia"/>
          <w:b/>
          <w:sz w:val="24"/>
        </w:rPr>
      </w:pPr>
      <w:r>
        <w:rPr>
          <w:rFonts w:hAnsiTheme="minorEastAsia" w:hint="eastAsia"/>
          <w:b/>
          <w:sz w:val="24"/>
        </w:rPr>
        <w:t>四</w:t>
      </w:r>
      <w:r w:rsidRPr="004E139C">
        <w:rPr>
          <w:rFonts w:hAnsiTheme="minorEastAsia" w:hint="eastAsia"/>
          <w:b/>
          <w:sz w:val="24"/>
        </w:rPr>
        <w:t>、</w:t>
      </w:r>
      <w:r>
        <w:rPr>
          <w:rFonts w:hAnsiTheme="minorEastAsia" w:hint="eastAsia"/>
          <w:b/>
          <w:sz w:val="24"/>
        </w:rPr>
        <w:t>标准中有关专利情况</w:t>
      </w:r>
      <w:r w:rsidRPr="004E139C">
        <w:rPr>
          <w:rFonts w:hAnsiTheme="minorEastAsia" w:hint="eastAsia"/>
          <w:b/>
          <w:sz w:val="24"/>
        </w:rPr>
        <w:t>说明</w:t>
      </w:r>
    </w:p>
    <w:p w:rsidR="007012E9" w:rsidRPr="001111D5" w:rsidRDefault="007012E9" w:rsidP="001111D5">
      <w:pPr>
        <w:spacing w:line="360" w:lineRule="auto"/>
        <w:ind w:firstLineChars="200" w:firstLine="480"/>
        <w:jc w:val="left"/>
        <w:rPr>
          <w:rFonts w:hAnsiTheme="minorEastAsia" w:hint="eastAsia"/>
          <w:sz w:val="24"/>
        </w:rPr>
      </w:pPr>
      <w:r>
        <w:rPr>
          <w:rFonts w:hAnsiTheme="minorEastAsia" w:hint="eastAsia"/>
          <w:sz w:val="24"/>
        </w:rPr>
        <w:t>无</w:t>
      </w:r>
    </w:p>
    <w:p w:rsidR="00CE0EFC" w:rsidRPr="005E01D2" w:rsidRDefault="00CE0EFC" w:rsidP="00CE0EFC">
      <w:pPr>
        <w:spacing w:line="360" w:lineRule="auto"/>
        <w:jc w:val="left"/>
        <w:rPr>
          <w:rFonts w:hAnsiTheme="minorEastAsia" w:hint="eastAsia"/>
          <w:b/>
          <w:sz w:val="24"/>
        </w:rPr>
      </w:pPr>
      <w:r>
        <w:rPr>
          <w:rFonts w:hAnsiTheme="minorEastAsia" w:hint="eastAsia"/>
          <w:b/>
          <w:sz w:val="24"/>
        </w:rPr>
        <w:t>五、预期达到的</w:t>
      </w:r>
      <w:r w:rsidRPr="005E01D2">
        <w:rPr>
          <w:rFonts w:hAnsiTheme="minorEastAsia" w:hint="eastAsia"/>
          <w:b/>
          <w:sz w:val="24"/>
        </w:rPr>
        <w:t>经济</w:t>
      </w:r>
      <w:r>
        <w:rPr>
          <w:rFonts w:hAnsiTheme="minorEastAsia" w:hint="eastAsia"/>
          <w:b/>
          <w:sz w:val="24"/>
        </w:rPr>
        <w:t>社会效益</w:t>
      </w:r>
    </w:p>
    <w:p w:rsidR="007012E9" w:rsidRPr="00420C99" w:rsidRDefault="00420C99" w:rsidP="00420C99">
      <w:pPr>
        <w:spacing w:line="360" w:lineRule="auto"/>
        <w:ind w:firstLineChars="200" w:firstLine="480"/>
        <w:rPr>
          <w:rFonts w:hAnsiTheme="minorEastAsia" w:hint="eastAsia"/>
          <w:iCs/>
          <w:sz w:val="24"/>
        </w:rPr>
      </w:pPr>
      <w:r w:rsidRPr="00420C99">
        <w:rPr>
          <w:rFonts w:hAnsiTheme="minorEastAsia" w:hint="eastAsia"/>
          <w:iCs/>
          <w:sz w:val="24"/>
        </w:rPr>
        <w:t>本标准的制定对船舶制造企业进行船舶精益设计、船舶设计信息化管理、协同设计管理方案实施提供了重要依据和参考。</w:t>
      </w:r>
    </w:p>
    <w:p w:rsidR="00CE0EFC" w:rsidRDefault="00CE0EFC" w:rsidP="00CE0EFC">
      <w:pPr>
        <w:spacing w:line="360" w:lineRule="auto"/>
        <w:jc w:val="left"/>
        <w:rPr>
          <w:rFonts w:hAnsiTheme="minorEastAsia" w:hint="eastAsia"/>
          <w:b/>
          <w:sz w:val="24"/>
        </w:rPr>
      </w:pPr>
      <w:r>
        <w:rPr>
          <w:rFonts w:hAnsiTheme="minorEastAsia" w:hint="eastAsia"/>
          <w:b/>
          <w:sz w:val="24"/>
        </w:rPr>
        <w:t>六</w:t>
      </w:r>
      <w:r w:rsidRPr="00EE583D">
        <w:rPr>
          <w:rFonts w:hAnsiTheme="minorEastAsia" w:hint="eastAsia"/>
          <w:b/>
          <w:sz w:val="24"/>
        </w:rPr>
        <w:t>、采用国际标准</w:t>
      </w:r>
      <w:r>
        <w:rPr>
          <w:rFonts w:hAnsiTheme="minorEastAsia" w:hint="eastAsia"/>
          <w:b/>
          <w:sz w:val="24"/>
        </w:rPr>
        <w:t>和国外先进标准情况</w:t>
      </w:r>
    </w:p>
    <w:p w:rsidR="001111D5" w:rsidRPr="001111D5" w:rsidRDefault="001111D5" w:rsidP="001111D5">
      <w:pPr>
        <w:spacing w:line="360" w:lineRule="auto"/>
        <w:ind w:firstLineChars="200" w:firstLine="480"/>
        <w:jc w:val="left"/>
        <w:rPr>
          <w:rFonts w:hAnsiTheme="minorEastAsia" w:hint="eastAsia"/>
          <w:sz w:val="24"/>
        </w:rPr>
      </w:pPr>
      <w:r>
        <w:rPr>
          <w:rFonts w:hAnsiTheme="minorEastAsia" w:hint="eastAsia"/>
          <w:sz w:val="24"/>
        </w:rPr>
        <w:t>无</w:t>
      </w:r>
    </w:p>
    <w:p w:rsidR="00CE0EFC" w:rsidRDefault="00CE0EFC" w:rsidP="00CE0EFC">
      <w:pPr>
        <w:spacing w:line="360" w:lineRule="auto"/>
        <w:jc w:val="left"/>
        <w:rPr>
          <w:rFonts w:hAnsiTheme="minorEastAsia" w:hint="eastAsia"/>
          <w:b/>
          <w:sz w:val="24"/>
        </w:rPr>
      </w:pPr>
      <w:r>
        <w:rPr>
          <w:rFonts w:hAnsiTheme="minorEastAsia" w:hint="eastAsia"/>
          <w:b/>
          <w:sz w:val="24"/>
        </w:rPr>
        <w:t>七</w:t>
      </w:r>
      <w:r w:rsidRPr="00EE583D">
        <w:rPr>
          <w:rFonts w:hAnsiTheme="minorEastAsia" w:hint="eastAsia"/>
          <w:b/>
          <w:sz w:val="24"/>
        </w:rPr>
        <w:t>、重大分歧意见的处理经过和依据</w:t>
      </w:r>
    </w:p>
    <w:p w:rsidR="001111D5" w:rsidRPr="00D84A83" w:rsidRDefault="007012E9" w:rsidP="001111D5">
      <w:pPr>
        <w:spacing w:line="360" w:lineRule="auto"/>
        <w:ind w:firstLineChars="200" w:firstLine="480"/>
        <w:jc w:val="left"/>
        <w:rPr>
          <w:rFonts w:hAnsiTheme="minorEastAsia" w:hint="eastAsia"/>
          <w:sz w:val="24"/>
        </w:rPr>
      </w:pPr>
      <w:r>
        <w:rPr>
          <w:rFonts w:hAnsiTheme="minorEastAsia" w:hint="eastAsia"/>
          <w:sz w:val="24"/>
        </w:rPr>
        <w:t>无</w:t>
      </w:r>
    </w:p>
    <w:p w:rsidR="00CE0EFC" w:rsidRPr="00EE583D" w:rsidRDefault="00CE0EFC" w:rsidP="00CE0EFC">
      <w:pPr>
        <w:spacing w:line="360" w:lineRule="auto"/>
        <w:jc w:val="left"/>
        <w:rPr>
          <w:rFonts w:hAnsiTheme="minorEastAsia" w:hint="eastAsia"/>
          <w:b/>
          <w:sz w:val="24"/>
        </w:rPr>
      </w:pPr>
      <w:r>
        <w:rPr>
          <w:rFonts w:hAnsiTheme="minorEastAsia" w:hint="eastAsia"/>
          <w:b/>
          <w:sz w:val="24"/>
        </w:rPr>
        <w:t>八</w:t>
      </w:r>
      <w:r w:rsidRPr="00EE583D">
        <w:rPr>
          <w:rFonts w:hAnsiTheme="minorEastAsia" w:hint="eastAsia"/>
          <w:b/>
          <w:sz w:val="24"/>
        </w:rPr>
        <w:t>、贯彻学会标准的要求和措施建议</w:t>
      </w:r>
    </w:p>
    <w:p w:rsidR="007012E9" w:rsidRPr="001111D5" w:rsidRDefault="007012E9" w:rsidP="001111D5">
      <w:pPr>
        <w:spacing w:line="360" w:lineRule="auto"/>
        <w:ind w:firstLineChars="200" w:firstLine="480"/>
        <w:jc w:val="left"/>
        <w:rPr>
          <w:rFonts w:hAnsiTheme="minorEastAsia" w:hint="eastAsia"/>
          <w:sz w:val="24"/>
        </w:rPr>
      </w:pPr>
      <w:r>
        <w:rPr>
          <w:rFonts w:hAnsiTheme="minorEastAsia" w:hint="eastAsia"/>
          <w:sz w:val="24"/>
        </w:rPr>
        <w:t>无</w:t>
      </w:r>
    </w:p>
    <w:p w:rsidR="00CE0EFC" w:rsidRDefault="00CE0EFC" w:rsidP="00CE0EFC">
      <w:pPr>
        <w:spacing w:line="360" w:lineRule="auto"/>
        <w:jc w:val="left"/>
        <w:rPr>
          <w:rFonts w:hAnsiTheme="minorEastAsia" w:hint="eastAsia"/>
          <w:b/>
          <w:sz w:val="24"/>
        </w:rPr>
      </w:pPr>
      <w:r>
        <w:rPr>
          <w:rFonts w:hAnsiTheme="minorEastAsia" w:hint="eastAsia"/>
          <w:b/>
          <w:sz w:val="24"/>
        </w:rPr>
        <w:t>九</w:t>
      </w:r>
      <w:r w:rsidRPr="00EE583D">
        <w:rPr>
          <w:rFonts w:hAnsiTheme="minorEastAsia" w:hint="eastAsia"/>
          <w:b/>
          <w:sz w:val="24"/>
        </w:rPr>
        <w:t>、其它</w:t>
      </w:r>
      <w:r>
        <w:rPr>
          <w:rFonts w:hAnsiTheme="minorEastAsia" w:hint="eastAsia"/>
          <w:b/>
          <w:sz w:val="24"/>
        </w:rPr>
        <w:t>应予说明的事项</w:t>
      </w:r>
    </w:p>
    <w:p w:rsidR="00B439F8" w:rsidRPr="00CE0EFC" w:rsidRDefault="001111D5" w:rsidP="00ED1B38">
      <w:pPr>
        <w:spacing w:line="360" w:lineRule="auto"/>
        <w:ind w:firstLineChars="200" w:firstLine="480"/>
        <w:jc w:val="left"/>
      </w:pPr>
      <w:r>
        <w:rPr>
          <w:rFonts w:hAnsiTheme="minorEastAsia" w:hint="eastAsia"/>
          <w:sz w:val="24"/>
        </w:rPr>
        <w:t>无</w:t>
      </w:r>
    </w:p>
    <w:sectPr w:rsidR="00B439F8" w:rsidRPr="00CE0E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66A87" w:rsidRDefault="00D66A87" w:rsidP="000E0D3D">
      <w:r>
        <w:separator/>
      </w:r>
    </w:p>
  </w:endnote>
  <w:endnote w:type="continuationSeparator" w:id="0">
    <w:p w:rsidR="00D66A87" w:rsidRDefault="00D66A87" w:rsidP="000E0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66A87" w:rsidRDefault="00D66A87" w:rsidP="000E0D3D">
      <w:r>
        <w:separator/>
      </w:r>
    </w:p>
  </w:footnote>
  <w:footnote w:type="continuationSeparator" w:id="0">
    <w:p w:rsidR="00D66A87" w:rsidRDefault="00D66A87" w:rsidP="000E0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10AD5"/>
    <w:multiLevelType w:val="hybridMultilevel"/>
    <w:tmpl w:val="370E6E98"/>
    <w:lvl w:ilvl="0" w:tplc="44AAC196">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745819D6"/>
    <w:multiLevelType w:val="hybridMultilevel"/>
    <w:tmpl w:val="6A9C5BD8"/>
    <w:lvl w:ilvl="0" w:tplc="5518CD2A">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42359646">
    <w:abstractNumId w:val="0"/>
  </w:num>
  <w:num w:numId="2" w16cid:durableId="127556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EFC"/>
    <w:rsid w:val="00013A47"/>
    <w:rsid w:val="0004260B"/>
    <w:rsid w:val="000853A7"/>
    <w:rsid w:val="000C3129"/>
    <w:rsid w:val="000E0D3D"/>
    <w:rsid w:val="000F7C76"/>
    <w:rsid w:val="001111D5"/>
    <w:rsid w:val="00364C30"/>
    <w:rsid w:val="0039001C"/>
    <w:rsid w:val="003A2EEE"/>
    <w:rsid w:val="003B6E3C"/>
    <w:rsid w:val="00420C99"/>
    <w:rsid w:val="00423AAB"/>
    <w:rsid w:val="00443DAB"/>
    <w:rsid w:val="00446F85"/>
    <w:rsid w:val="004D2E6E"/>
    <w:rsid w:val="004E47F1"/>
    <w:rsid w:val="0052552F"/>
    <w:rsid w:val="006E1D9D"/>
    <w:rsid w:val="007012E9"/>
    <w:rsid w:val="007736A8"/>
    <w:rsid w:val="008344DA"/>
    <w:rsid w:val="008B3773"/>
    <w:rsid w:val="00905291"/>
    <w:rsid w:val="00932313"/>
    <w:rsid w:val="00A76AD9"/>
    <w:rsid w:val="00A87D63"/>
    <w:rsid w:val="00AC372A"/>
    <w:rsid w:val="00B439F8"/>
    <w:rsid w:val="00B512BF"/>
    <w:rsid w:val="00BD0358"/>
    <w:rsid w:val="00C35987"/>
    <w:rsid w:val="00C64E13"/>
    <w:rsid w:val="00C863CD"/>
    <w:rsid w:val="00CE0EFC"/>
    <w:rsid w:val="00D66A87"/>
    <w:rsid w:val="00DF2855"/>
    <w:rsid w:val="00E44A02"/>
    <w:rsid w:val="00ED1B38"/>
    <w:rsid w:val="00EE0155"/>
    <w:rsid w:val="00EF14CF"/>
    <w:rsid w:val="00F90D5F"/>
    <w:rsid w:val="00F9172A"/>
    <w:rsid w:val="00FB12BD"/>
    <w:rsid w:val="00FC4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5366"/>
  <w15:chartTrackingRefBased/>
  <w15:docId w15:val="{0BC79A43-E69A-4FC8-AFEA-E9DC7638C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0EFC"/>
    <w:pPr>
      <w:widowControl w:val="0"/>
      <w:jc w:val="both"/>
    </w:pPr>
    <w:rPr>
      <w:rFonts w:asciiTheme="minorEastAsia" w:cs="Times New Roman"/>
      <w:snapToGrid w:val="0"/>
      <w:kern w:val="0"/>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0D3D"/>
    <w:pPr>
      <w:tabs>
        <w:tab w:val="center" w:pos="4153"/>
        <w:tab w:val="right" w:pos="8306"/>
      </w:tabs>
      <w:snapToGrid w:val="0"/>
      <w:jc w:val="center"/>
    </w:pPr>
    <w:rPr>
      <w:sz w:val="18"/>
      <w:szCs w:val="18"/>
    </w:rPr>
  </w:style>
  <w:style w:type="character" w:customStyle="1" w:styleId="a4">
    <w:name w:val="页眉 字符"/>
    <w:basedOn w:val="a0"/>
    <w:link w:val="a3"/>
    <w:uiPriority w:val="99"/>
    <w:rsid w:val="000E0D3D"/>
    <w:rPr>
      <w:rFonts w:asciiTheme="minorEastAsia" w:cs="Times New Roman"/>
      <w:snapToGrid w:val="0"/>
      <w:kern w:val="0"/>
      <w:sz w:val="18"/>
      <w:szCs w:val="18"/>
      <w:lang w:val="en-GB"/>
    </w:rPr>
  </w:style>
  <w:style w:type="paragraph" w:styleId="a5">
    <w:name w:val="footer"/>
    <w:basedOn w:val="a"/>
    <w:link w:val="a6"/>
    <w:uiPriority w:val="99"/>
    <w:unhideWhenUsed/>
    <w:rsid w:val="000E0D3D"/>
    <w:pPr>
      <w:tabs>
        <w:tab w:val="center" w:pos="4153"/>
        <w:tab w:val="right" w:pos="8306"/>
      </w:tabs>
      <w:snapToGrid w:val="0"/>
      <w:jc w:val="left"/>
    </w:pPr>
    <w:rPr>
      <w:sz w:val="18"/>
      <w:szCs w:val="18"/>
    </w:rPr>
  </w:style>
  <w:style w:type="character" w:customStyle="1" w:styleId="a6">
    <w:name w:val="页脚 字符"/>
    <w:basedOn w:val="a0"/>
    <w:link w:val="a5"/>
    <w:uiPriority w:val="99"/>
    <w:rsid w:val="000E0D3D"/>
    <w:rPr>
      <w:rFonts w:asciiTheme="minorEastAsia" w:cs="Times New Roman"/>
      <w:snapToGrid w:val="0"/>
      <w:kern w:val="0"/>
      <w:sz w:val="18"/>
      <w:szCs w:val="18"/>
      <w:lang w:val="en-GB"/>
    </w:rPr>
  </w:style>
  <w:style w:type="paragraph" w:styleId="a7">
    <w:name w:val="List Paragraph"/>
    <w:basedOn w:val="a"/>
    <w:uiPriority w:val="34"/>
    <w:qFormat/>
    <w:rsid w:val="001111D5"/>
    <w:pPr>
      <w:ind w:firstLineChars="200" w:firstLine="420"/>
    </w:pPr>
  </w:style>
  <w:style w:type="paragraph" w:styleId="a8">
    <w:name w:val="Balloon Text"/>
    <w:basedOn w:val="a"/>
    <w:link w:val="a9"/>
    <w:uiPriority w:val="99"/>
    <w:semiHidden/>
    <w:unhideWhenUsed/>
    <w:rsid w:val="000853A7"/>
    <w:rPr>
      <w:sz w:val="18"/>
      <w:szCs w:val="18"/>
    </w:rPr>
  </w:style>
  <w:style w:type="character" w:customStyle="1" w:styleId="a9">
    <w:name w:val="批注框文本 字符"/>
    <w:basedOn w:val="a0"/>
    <w:link w:val="a8"/>
    <w:uiPriority w:val="99"/>
    <w:semiHidden/>
    <w:rsid w:val="000853A7"/>
    <w:rPr>
      <w:rFonts w:asciiTheme="minorEastAsia" w:cs="Times New Roman"/>
      <w:snapToGrid w:val="0"/>
      <w:kern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178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186</Words>
  <Characters>1066</Characters>
  <Application>Microsoft Office Word</Application>
  <DocSecurity>0</DocSecurity>
  <Lines>8</Lines>
  <Paragraphs>2</Paragraphs>
  <ScaleCrop>false</ScaleCrop>
  <Company>Microsoft</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PM</cp:lastModifiedBy>
  <cp:revision>3</cp:revision>
  <dcterms:created xsi:type="dcterms:W3CDTF">2024-07-18T03:52:00Z</dcterms:created>
  <dcterms:modified xsi:type="dcterms:W3CDTF">2024-11-05T00:21:00Z</dcterms:modified>
</cp:coreProperties>
</file>