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FC" w:rsidRDefault="00CE0EFC" w:rsidP="00CE0EFC">
      <w:pPr>
        <w:spacing w:line="360" w:lineRule="auto"/>
        <w:jc w:val="left"/>
        <w:rPr>
          <w:rFonts w:ascii="黑体" w:eastAsia="黑体" w:hAnsi="华文细黑"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7"/>
      </w:tblGrid>
      <w:tr w:rsidR="00CE0EFC" w:rsidTr="00F823A1">
        <w:trPr>
          <w:trHeight w:val="1573"/>
          <w:jc w:val="center"/>
        </w:trPr>
        <w:tc>
          <w:tcPr>
            <w:tcW w:w="8177" w:type="dxa"/>
          </w:tcPr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中国造船工程学会标准</w:t>
            </w:r>
          </w:p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  <w:r w:rsidRPr="006A5BA9">
              <w:rPr>
                <w:rFonts w:ascii="宋体" w:eastAsia="黑体" w:hAnsi="Calibri" w:hint="eastAsia"/>
                <w:spacing w:val="20"/>
                <w:sz w:val="44"/>
              </w:rPr>
              <w:t>《</w:t>
            </w:r>
            <w:r w:rsidR="00210468" w:rsidRPr="00210468">
              <w:rPr>
                <w:rFonts w:eastAsia="黑体" w:hint="eastAsia"/>
                <w:spacing w:val="20"/>
                <w:sz w:val="44"/>
              </w:rPr>
              <w:t>船用铝质埋入式水密舱口盖</w:t>
            </w:r>
            <w:r w:rsidRPr="006A5BA9">
              <w:rPr>
                <w:rFonts w:ascii="宋体" w:eastAsia="黑体" w:hAnsi="Calibri" w:hint="eastAsia"/>
                <w:spacing w:val="20"/>
                <w:sz w:val="44"/>
              </w:rPr>
              <w:t>》</w:t>
            </w:r>
          </w:p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:rsidR="00CE0EFC" w:rsidRPr="00210468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编制说明</w:t>
            </w: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Pr="00282FCF" w:rsidRDefault="00CE0EFC" w:rsidP="00F823A1">
            <w:pPr>
              <w:jc w:val="center"/>
              <w:rPr>
                <w:rFonts w:ascii="宋体" w:eastAsia="黑体" w:hAnsi="Calibri"/>
                <w:spacing w:val="20"/>
                <w:sz w:val="32"/>
                <w:szCs w:val="32"/>
              </w:rPr>
            </w:pPr>
            <w:r w:rsidRPr="00282FCF">
              <w:rPr>
                <w:rFonts w:ascii="宋体" w:eastAsia="黑体" w:hAnsi="Calibri" w:hint="eastAsia"/>
                <w:spacing w:val="20"/>
                <w:sz w:val="32"/>
                <w:szCs w:val="32"/>
              </w:rPr>
              <w:t>（</w:t>
            </w:r>
            <w:r w:rsidR="00596ADF">
              <w:rPr>
                <w:rFonts w:ascii="黑体" w:eastAsia="黑体" w:hint="eastAsia"/>
                <w:spacing w:val="20"/>
                <w:sz w:val="32"/>
                <w:szCs w:val="32"/>
              </w:rPr>
              <w:t>征求意见</w:t>
            </w:r>
            <w:r w:rsidRPr="00282FCF">
              <w:rPr>
                <w:rFonts w:ascii="宋体" w:eastAsia="黑体" w:hAnsi="Calibri" w:hint="eastAsia"/>
                <w:spacing w:val="20"/>
                <w:sz w:val="32"/>
                <w:szCs w:val="32"/>
              </w:rPr>
              <w:t>稿）</w:t>
            </w: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:rsidR="00CE0EFC" w:rsidRDefault="00CE0EFC" w:rsidP="00F823A1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</w:p>
          <w:p w:rsidR="00CE0EFC" w:rsidRPr="00282FCF" w:rsidRDefault="0064072D" w:rsidP="0064072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z w:val="44"/>
                <w:szCs w:val="44"/>
              </w:rPr>
            </w:pPr>
            <w:r>
              <w:rPr>
                <w:rFonts w:ascii="黑体" w:eastAsia="黑体"/>
                <w:sz w:val="32"/>
                <w:szCs w:val="32"/>
              </w:rPr>
              <w:t>2024</w:t>
            </w:r>
            <w:r w:rsidR="00CE0EFC" w:rsidRPr="00282FCF">
              <w:rPr>
                <w:rFonts w:ascii="黑体" w:eastAsia="黑体" w:hAnsi="Calibri" w:hint="eastAsia"/>
                <w:sz w:val="32"/>
                <w:szCs w:val="32"/>
              </w:rPr>
              <w:t>年</w:t>
            </w:r>
            <w:r>
              <w:rPr>
                <w:rFonts w:ascii="黑体" w:eastAsia="黑体"/>
                <w:sz w:val="32"/>
                <w:szCs w:val="32"/>
              </w:rPr>
              <w:t>9</w:t>
            </w:r>
            <w:r w:rsidR="00CE0EFC" w:rsidRPr="00282FCF">
              <w:rPr>
                <w:rFonts w:ascii="黑体" w:eastAsia="黑体" w:hAnsi="Calibri" w:hint="eastAsia"/>
                <w:sz w:val="32"/>
                <w:szCs w:val="32"/>
              </w:rPr>
              <w:t>月</w:t>
            </w:r>
          </w:p>
        </w:tc>
      </w:tr>
    </w:tbl>
    <w:p w:rsidR="00CE0EFC" w:rsidRDefault="00CE0EFC" w:rsidP="00CE0EFC">
      <w:pPr>
        <w:adjustRightInd w:val="0"/>
        <w:snapToGrid w:val="0"/>
        <w:spacing w:beforeLines="50" w:before="156"/>
        <w:jc w:val="center"/>
        <w:rPr>
          <w:rFonts w:eastAsia="黑体"/>
          <w:spacing w:val="20"/>
          <w:sz w:val="44"/>
        </w:rPr>
        <w:sectPr w:rsidR="00CE0EFC" w:rsidSect="002A5DCC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CE0EF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 w:rsidRPr="00051A44">
        <w:rPr>
          <w:rFonts w:hAnsiTheme="minorEastAsia" w:hint="eastAsia"/>
          <w:b/>
          <w:sz w:val="24"/>
        </w:rPr>
        <w:lastRenderedPageBreak/>
        <w:t>一、工作简况</w:t>
      </w:r>
    </w:p>
    <w:p w:rsidR="00CE0EFC" w:rsidRDefault="00CE0EFC" w:rsidP="00786725"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</w:t>
      </w:r>
      <w:r w:rsidRPr="00DA4308">
        <w:rPr>
          <w:rFonts w:ascii="宋体" w:eastAsia="宋体" w:hAnsi="宋体" w:hint="eastAsia"/>
          <w:b/>
          <w:sz w:val="24"/>
        </w:rPr>
        <w:t>任务来源</w:t>
      </w:r>
    </w:p>
    <w:p w:rsidR="00786725" w:rsidRDefault="00596ADF" w:rsidP="00786725">
      <w:pPr>
        <w:spacing w:line="400" w:lineRule="exact"/>
        <w:ind w:firstLineChars="200" w:firstLine="480"/>
        <w:jc w:val="left"/>
        <w:rPr>
          <w:rFonts w:hAnsiTheme="minorEastAsia"/>
          <w:sz w:val="24"/>
        </w:rPr>
      </w:pPr>
      <w:r>
        <w:rPr>
          <w:rFonts w:ascii="宋体" w:eastAsia="宋体" w:hAnsi="宋体" w:hint="eastAsia"/>
          <w:iCs/>
          <w:sz w:val="24"/>
        </w:rPr>
        <w:t>根据中国造船工程学会关于下达《深水锚桩安装作业规程》等13项团体标准计划的通知（船会[202</w:t>
      </w:r>
      <w:r>
        <w:rPr>
          <w:rFonts w:ascii="宋体" w:eastAsia="宋体" w:hAnsi="宋体"/>
          <w:iCs/>
          <w:sz w:val="24"/>
        </w:rPr>
        <w:t>4</w:t>
      </w:r>
      <w:r>
        <w:rPr>
          <w:rFonts w:ascii="宋体" w:eastAsia="宋体" w:hAnsi="宋体" w:hint="eastAsia"/>
          <w:iCs/>
          <w:sz w:val="24"/>
        </w:rPr>
        <w:t>]</w:t>
      </w:r>
      <w:r>
        <w:rPr>
          <w:rFonts w:ascii="宋体" w:eastAsia="宋体" w:hAnsi="宋体"/>
          <w:iCs/>
          <w:sz w:val="24"/>
        </w:rPr>
        <w:t>79</w:t>
      </w:r>
      <w:r>
        <w:rPr>
          <w:rFonts w:ascii="宋体" w:eastAsia="宋体" w:hAnsi="宋体" w:hint="eastAsia"/>
          <w:iCs/>
          <w:sz w:val="24"/>
        </w:rPr>
        <w:t xml:space="preserve">号），《系泊导缆孔安全衬套》(T/CSNAME </w:t>
      </w:r>
      <w:r>
        <w:rPr>
          <w:rFonts w:ascii="宋体" w:eastAsia="宋体" w:hAnsi="宋体"/>
          <w:iCs/>
          <w:sz w:val="24"/>
        </w:rPr>
        <w:t>123</w:t>
      </w:r>
      <w:r>
        <w:rPr>
          <w:rFonts w:ascii="宋体" w:eastAsia="宋体" w:hAnsi="宋体" w:hint="eastAsia"/>
          <w:iCs/>
          <w:sz w:val="24"/>
        </w:rPr>
        <w:t>-XXXX)由</w:t>
      </w:r>
      <w:r>
        <w:rPr>
          <w:rFonts w:hint="eastAsia"/>
          <w:sz w:val="24"/>
          <w:szCs w:val="24"/>
        </w:rPr>
        <w:t>英辉南方造船（广州番禺）有限公司</w:t>
      </w:r>
      <w:r>
        <w:rPr>
          <w:rFonts w:ascii="宋体" w:eastAsia="宋体" w:hAnsi="宋体" w:hint="eastAsia"/>
          <w:iCs/>
          <w:sz w:val="24"/>
        </w:rPr>
        <w:t>负责编制，。编制时间为20</w:t>
      </w:r>
      <w:r>
        <w:rPr>
          <w:rFonts w:ascii="宋体" w:eastAsia="宋体" w:hAnsi="宋体"/>
          <w:iCs/>
          <w:sz w:val="24"/>
        </w:rPr>
        <w:t>24</w:t>
      </w:r>
      <w:r>
        <w:rPr>
          <w:rFonts w:ascii="宋体" w:eastAsia="宋体" w:hAnsi="宋体" w:hint="eastAsia"/>
          <w:iCs/>
          <w:sz w:val="24"/>
        </w:rPr>
        <w:t>年</w:t>
      </w:r>
      <w:r>
        <w:rPr>
          <w:rFonts w:ascii="宋体" w:eastAsia="宋体" w:hAnsi="宋体"/>
          <w:iCs/>
          <w:sz w:val="24"/>
        </w:rPr>
        <w:t>8</w:t>
      </w:r>
      <w:r>
        <w:rPr>
          <w:rFonts w:ascii="宋体" w:eastAsia="宋体" w:hAnsi="宋体" w:hint="eastAsia"/>
          <w:iCs/>
          <w:sz w:val="24"/>
        </w:rPr>
        <w:t>月-20</w:t>
      </w:r>
      <w:r>
        <w:rPr>
          <w:rFonts w:ascii="宋体" w:eastAsia="宋体" w:hAnsi="宋体"/>
          <w:iCs/>
          <w:sz w:val="24"/>
        </w:rPr>
        <w:t>25</w:t>
      </w:r>
      <w:r>
        <w:rPr>
          <w:rFonts w:ascii="宋体" w:eastAsia="宋体" w:hAnsi="宋体" w:hint="eastAsia"/>
          <w:iCs/>
          <w:sz w:val="24"/>
        </w:rPr>
        <w:t>年</w:t>
      </w:r>
      <w:r>
        <w:rPr>
          <w:rFonts w:ascii="宋体" w:eastAsia="宋体" w:hAnsi="宋体"/>
          <w:iCs/>
          <w:sz w:val="24"/>
        </w:rPr>
        <w:t>8</w:t>
      </w:r>
      <w:r>
        <w:rPr>
          <w:rFonts w:ascii="宋体" w:eastAsia="宋体" w:hAnsi="宋体" w:hint="eastAsia"/>
          <w:iCs/>
          <w:sz w:val="24"/>
        </w:rPr>
        <w:t>月。</w:t>
      </w:r>
    </w:p>
    <w:p w:rsidR="00CE0EFC" w:rsidRDefault="00CE0EFC" w:rsidP="00786725">
      <w:pPr>
        <w:spacing w:line="400" w:lineRule="exact"/>
        <w:jc w:val="left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（二）</w:t>
      </w:r>
      <w:r w:rsidRPr="001F4845">
        <w:rPr>
          <w:rFonts w:ascii="宋体" w:eastAsia="宋体" w:hAnsi="宋体" w:hint="eastAsia"/>
          <w:b/>
          <w:sz w:val="24"/>
        </w:rPr>
        <w:t>标准的研究、起草过程</w:t>
      </w:r>
    </w:p>
    <w:p w:rsidR="002D1225" w:rsidRDefault="00596ADF" w:rsidP="00786725">
      <w:pPr>
        <w:spacing w:line="400" w:lineRule="exact"/>
        <w:ind w:firstLineChars="200" w:firstLine="480"/>
        <w:jc w:val="left"/>
        <w:rPr>
          <w:rFonts w:hAnsiTheme="minorEastAsia"/>
          <w:sz w:val="24"/>
        </w:rPr>
      </w:pPr>
      <w:r>
        <w:rPr>
          <w:rFonts w:ascii="宋体" w:eastAsia="宋体" w:hAnsi="宋体" w:hint="eastAsia"/>
          <w:iCs/>
          <w:sz w:val="24"/>
        </w:rPr>
        <w:t>2024年8月，成立编制组，明确编制人员的分工，编制完成标准草案。根据立项评审专家意见对标准草案进行修改，形成标准征求意见稿及标准编制说明（征求意见稿）。</w:t>
      </w:r>
    </w:p>
    <w:p w:rsidR="00CE0EF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 w:rsidRPr="008744BD">
        <w:rPr>
          <w:rFonts w:hAnsiTheme="minorEastAsia" w:hint="eastAsia"/>
          <w:b/>
          <w:sz w:val="24"/>
        </w:rPr>
        <w:t>二、标准编制原则及主要技术内容</w:t>
      </w:r>
    </w:p>
    <w:p w:rsidR="00CE0EFC" w:rsidRDefault="00CE0EFC" w:rsidP="00786725"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</w:t>
      </w:r>
      <w:r>
        <w:rPr>
          <w:rFonts w:ascii="宋体" w:hAnsi="宋体" w:hint="eastAsia"/>
          <w:b/>
          <w:sz w:val="24"/>
        </w:rPr>
        <w:t>编制原则</w:t>
      </w:r>
    </w:p>
    <w:p w:rsid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本文件按照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GB/T1.1-2020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《标准化工作导则 第1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部分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：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标准化文件的结构和起草规则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》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给出的规则起草。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引用的标准均为现行有效的最新标准</w:t>
      </w:r>
      <w:r w:rsidR="00E05DAB" w:rsidRPr="00596ADF">
        <w:rPr>
          <w:rFonts w:hAnsi="宋体" w:hint="eastAsia"/>
          <w:iCs/>
          <w:snapToGrid w:val="0"/>
          <w:sz w:val="24"/>
          <w:szCs w:val="21"/>
          <w:lang w:val="en-GB"/>
        </w:rPr>
        <w:t>，</w:t>
      </w:r>
      <w:r w:rsidR="00E05DAB" w:rsidRPr="00596ADF">
        <w:rPr>
          <w:rFonts w:hAnsi="宋体"/>
          <w:iCs/>
          <w:snapToGrid w:val="0"/>
          <w:sz w:val="24"/>
          <w:szCs w:val="21"/>
          <w:lang w:val="en-GB"/>
        </w:rPr>
        <w:t>规范要求。</w:t>
      </w:r>
    </w:p>
    <w:p w:rsidR="00CE0EFC" w:rsidRDefault="00CE0EFC" w:rsidP="00786725">
      <w:pPr>
        <w:spacing w:line="400" w:lineRule="exact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</w:t>
      </w:r>
      <w:r w:rsidRPr="005E01D2">
        <w:rPr>
          <w:rFonts w:ascii="宋体" w:hAnsi="宋体" w:hint="eastAsia"/>
          <w:b/>
          <w:sz w:val="24"/>
        </w:rPr>
        <w:t>标准主要内容</w:t>
      </w:r>
      <w:bookmarkStart w:id="0" w:name="_GoBack"/>
      <w:bookmarkEnd w:id="0"/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本文件规定了船用铝质埋入式舱口盖（以下简称舱口盖）的分类和标记、要求、试验方法、检验规则、包装、运输和贮存。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本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文件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适用于铝质、钢铝混合船舶的室内和室外的通道处所布置的埋入式舱口盖的设计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、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制造和验收。其他类型的船舶产品可参照执行。</w:t>
      </w:r>
    </w:p>
    <w:p w:rsidR="00CE0EF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>
        <w:rPr>
          <w:rFonts w:ascii="宋体" w:hAnsi="宋体" w:hint="eastAsia"/>
          <w:b/>
          <w:sz w:val="24"/>
        </w:rPr>
        <w:t>（三）主要技术指标确定依据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712-2022 船舶及海洋工程用结构钢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1184-1996  形状和位置公差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未注公差值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1804-2000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一般公差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未注公差的线性和角度尺寸的公差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1958-2017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产品几何量技术规范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（G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PS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）形状和位置公差 检测规定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GB/T 3190-2020  变形铝及铝合金化学成分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6388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运输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包装收发货标志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GB/T13384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机电产品包装通用技术条件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GB/T 1464-2008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氯丁二烯橡胶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C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R121、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C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R122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G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20878-2007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不锈钢和耐热钢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牌号及化学成分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CB*/Z 92-1981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铝合金阳极氧化处理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bookmarkStart w:id="1" w:name="OLE_LINK6"/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lastRenderedPageBreak/>
        <w:t>C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B/T 958-2020</w:t>
      </w:r>
      <w:bookmarkEnd w:id="1"/>
      <w:r w:rsidRPr="00596ADF">
        <w:rPr>
          <w:rFonts w:hAnsi="宋体"/>
          <w:iCs/>
          <w:snapToGrid w:val="0"/>
          <w:sz w:val="24"/>
          <w:szCs w:val="21"/>
          <w:lang w:val="en-GB"/>
        </w:rPr>
        <w:t xml:space="preserve"> 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铝质埋入式水密舱口盖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/>
          <w:iCs/>
          <w:snapToGrid w:val="0"/>
          <w:sz w:val="24"/>
          <w:szCs w:val="21"/>
          <w:lang w:val="en-GB"/>
        </w:rPr>
        <w:t>JB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/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ZQ 4196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 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尼龙棒材及管材</w:t>
      </w:r>
    </w:p>
    <w:p w:rsidR="00353363" w:rsidRPr="00596ADF" w:rsidRDefault="00353363" w:rsidP="00596ADF">
      <w:pPr>
        <w:pStyle w:val="a3"/>
        <w:spacing w:line="400" w:lineRule="exact"/>
        <w:ind w:firstLine="480"/>
        <w:rPr>
          <w:rFonts w:hAnsi="宋体"/>
          <w:iCs/>
          <w:snapToGrid w:val="0"/>
          <w:sz w:val="24"/>
          <w:szCs w:val="21"/>
          <w:lang w:val="en-GB"/>
        </w:rPr>
      </w:pP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>C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 xml:space="preserve">CS  </w:t>
      </w:r>
      <w:r w:rsidRPr="00596ADF">
        <w:rPr>
          <w:rFonts w:hAnsi="宋体" w:hint="eastAsia"/>
          <w:iCs/>
          <w:snapToGrid w:val="0"/>
          <w:sz w:val="24"/>
          <w:szCs w:val="21"/>
          <w:lang w:val="en-GB"/>
        </w:rPr>
        <w:t xml:space="preserve">海上高速船入级与建造规范 </w:t>
      </w:r>
      <w:r w:rsidRPr="00596ADF">
        <w:rPr>
          <w:rFonts w:hAnsi="宋体"/>
          <w:iCs/>
          <w:snapToGrid w:val="0"/>
          <w:sz w:val="24"/>
          <w:szCs w:val="21"/>
          <w:lang w:val="en-GB"/>
        </w:rPr>
        <w:t>2022</w:t>
      </w:r>
    </w:p>
    <w:p w:rsidR="00CE0EF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 w:rsidRPr="005E01D2">
        <w:rPr>
          <w:rFonts w:hAnsiTheme="minorEastAsia" w:hint="eastAsia"/>
          <w:b/>
          <w:sz w:val="24"/>
        </w:rPr>
        <w:t>三、主要试验（验证）</w:t>
      </w:r>
      <w:r>
        <w:rPr>
          <w:rFonts w:hAnsiTheme="minorEastAsia" w:hint="eastAsia"/>
          <w:b/>
          <w:sz w:val="24"/>
        </w:rPr>
        <w:t>情况</w:t>
      </w:r>
      <w:r w:rsidRPr="005E01D2">
        <w:rPr>
          <w:rFonts w:hAnsiTheme="minorEastAsia" w:hint="eastAsia"/>
          <w:b/>
          <w:sz w:val="24"/>
        </w:rPr>
        <w:t>分析</w:t>
      </w:r>
    </w:p>
    <w:p w:rsidR="000158DD" w:rsidRDefault="00521C58" w:rsidP="00786725">
      <w:pPr>
        <w:spacing w:line="400" w:lineRule="exact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/>
          <w:sz w:val="24"/>
        </w:rPr>
        <w:t>严格</w:t>
      </w:r>
      <w:r w:rsidR="000158DD">
        <w:rPr>
          <w:rFonts w:hAnsiTheme="minorEastAsia"/>
          <w:sz w:val="24"/>
        </w:rPr>
        <w:t>按照本标准的第</w:t>
      </w:r>
      <w:r w:rsidR="000158DD">
        <w:rPr>
          <w:rFonts w:hAnsiTheme="minorEastAsia" w:hint="eastAsia"/>
          <w:sz w:val="24"/>
        </w:rPr>
        <w:t>5章要求，分别</w:t>
      </w:r>
      <w:r w:rsidR="000158DD" w:rsidRPr="000158DD">
        <w:rPr>
          <w:rFonts w:hAnsiTheme="minorEastAsia"/>
          <w:sz w:val="24"/>
        </w:rPr>
        <w:t>对材料、</w:t>
      </w:r>
      <w:r w:rsidR="000158DD">
        <w:rPr>
          <w:rFonts w:hAnsiTheme="minorEastAsia"/>
          <w:sz w:val="24"/>
        </w:rPr>
        <w:t>外观、尺寸和尺寸公差及形位公差</w:t>
      </w:r>
      <w:r w:rsidR="0064072D">
        <w:rPr>
          <w:rFonts w:hAnsiTheme="minorEastAsia"/>
          <w:sz w:val="24"/>
        </w:rPr>
        <w:t>、开闭的灵活性，以及密性等相关试验，通过型式试验及出厂检验，并由制造厂家负责向</w:t>
      </w:r>
      <w:r w:rsidR="000158DD">
        <w:rPr>
          <w:rFonts w:hAnsiTheme="minorEastAsia"/>
          <w:sz w:val="24"/>
        </w:rPr>
        <w:t>船级社</w:t>
      </w:r>
      <w:r w:rsidR="0064072D">
        <w:rPr>
          <w:rFonts w:hAnsiTheme="minorEastAsia"/>
          <w:sz w:val="24"/>
        </w:rPr>
        <w:t>申请认可，并</w:t>
      </w:r>
      <w:r w:rsidR="000158DD">
        <w:rPr>
          <w:rFonts w:hAnsiTheme="minorEastAsia"/>
          <w:sz w:val="24"/>
        </w:rPr>
        <w:t>发放船用产品证书。</w:t>
      </w:r>
    </w:p>
    <w:p w:rsidR="00521C58" w:rsidRPr="00521C58" w:rsidRDefault="00521C58" w:rsidP="00521C58">
      <w:pPr>
        <w:spacing w:line="400" w:lineRule="exact"/>
        <w:jc w:val="left"/>
        <w:rPr>
          <w:rFonts w:hAnsiTheme="minorEastAsia"/>
          <w:sz w:val="24"/>
        </w:rPr>
      </w:pPr>
      <w:r>
        <w:rPr>
          <w:rFonts w:hAnsiTheme="minorEastAsia"/>
          <w:sz w:val="24"/>
        </w:rPr>
        <w:t xml:space="preserve">    制作和安装过程中</w:t>
      </w:r>
      <w:r>
        <w:rPr>
          <w:rFonts w:hAnsiTheme="minorEastAsia" w:hint="eastAsia"/>
          <w:sz w:val="24"/>
        </w:rPr>
        <w:t>需</w:t>
      </w:r>
      <w:r>
        <w:rPr>
          <w:rFonts w:hAnsiTheme="minorEastAsia"/>
          <w:sz w:val="24"/>
        </w:rPr>
        <w:t>严格按照上述要求检验，</w:t>
      </w:r>
      <w:r>
        <w:rPr>
          <w:rFonts w:hAnsiTheme="minorEastAsia" w:hint="eastAsia"/>
          <w:sz w:val="24"/>
        </w:rPr>
        <w:t>通过</w:t>
      </w:r>
      <w:r>
        <w:rPr>
          <w:rFonts w:hAnsiTheme="minorEastAsia"/>
          <w:sz w:val="24"/>
        </w:rPr>
        <w:t>历年来英辉南方造船的实船</w:t>
      </w:r>
      <w:r>
        <w:rPr>
          <w:rFonts w:hAnsiTheme="minorEastAsia" w:hint="eastAsia"/>
          <w:sz w:val="24"/>
        </w:rPr>
        <w:t>论证</w:t>
      </w:r>
      <w:r>
        <w:rPr>
          <w:rFonts w:hAnsiTheme="minorEastAsia"/>
          <w:sz w:val="24"/>
        </w:rPr>
        <w:t>，完全能够达到编制此标准的初衷，满足规范规则，满足国、内外船东</w:t>
      </w:r>
      <w:r>
        <w:rPr>
          <w:rFonts w:hAnsiTheme="minorEastAsia" w:hint="eastAsia"/>
          <w:sz w:val="24"/>
        </w:rPr>
        <w:t>&amp;</w:t>
      </w:r>
      <w:r>
        <w:rPr>
          <w:rFonts w:hAnsiTheme="minorEastAsia"/>
          <w:sz w:val="24"/>
        </w:rPr>
        <w:t>船检要求。</w:t>
      </w:r>
    </w:p>
    <w:p w:rsidR="00CE0EFC" w:rsidRPr="004E139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四</w:t>
      </w:r>
      <w:r w:rsidRPr="004E139C">
        <w:rPr>
          <w:rFonts w:hAnsiTheme="minorEastAsia" w:hint="eastAsia"/>
          <w:b/>
          <w:sz w:val="24"/>
        </w:rPr>
        <w:t>、</w:t>
      </w:r>
      <w:r>
        <w:rPr>
          <w:rFonts w:hAnsiTheme="minorEastAsia" w:hint="eastAsia"/>
          <w:b/>
          <w:sz w:val="24"/>
        </w:rPr>
        <w:t>标准中有关专利情况</w:t>
      </w:r>
      <w:r w:rsidRPr="004E139C">
        <w:rPr>
          <w:rFonts w:hAnsiTheme="minorEastAsia" w:hint="eastAsia"/>
          <w:b/>
          <w:sz w:val="24"/>
        </w:rPr>
        <w:t>说明</w:t>
      </w:r>
    </w:p>
    <w:p w:rsidR="00D06FAD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>
        <w:rPr>
          <w:rFonts w:hAnsiTheme="minorEastAsia"/>
          <w:sz w:val="24"/>
        </w:rPr>
        <w:t>与</w:t>
      </w:r>
      <w:r w:rsidRPr="00302235">
        <w:rPr>
          <w:rFonts w:hAnsiTheme="minorEastAsia"/>
          <w:sz w:val="24"/>
        </w:rPr>
        <w:t>专利号：</w:t>
      </w:r>
      <w:r w:rsidRPr="00302235">
        <w:rPr>
          <w:rFonts w:hAnsiTheme="minorEastAsia" w:hint="eastAsia"/>
          <w:sz w:val="24"/>
        </w:rPr>
        <w:t>B</w:t>
      </w:r>
      <w:r w:rsidRPr="00302235">
        <w:rPr>
          <w:rFonts w:hAnsiTheme="minorEastAsia"/>
          <w:sz w:val="24"/>
        </w:rPr>
        <w:t>63B 19/14(2006.01)埋入式中心快启闭舱口盖，此专利虽然与</w:t>
      </w:r>
      <w:r w:rsidRPr="00302235">
        <w:rPr>
          <w:rFonts w:hAnsiTheme="minorEastAsia" w:hint="eastAsia"/>
          <w:sz w:val="24"/>
        </w:rPr>
        <w:t>本</w:t>
      </w:r>
      <w:r w:rsidRPr="00302235">
        <w:rPr>
          <w:rFonts w:hAnsiTheme="minorEastAsia"/>
          <w:sz w:val="24"/>
        </w:rPr>
        <w:t>标准</w:t>
      </w:r>
      <w:r>
        <w:rPr>
          <w:rFonts w:hAnsiTheme="minorEastAsia" w:hint="eastAsia"/>
          <w:sz w:val="24"/>
        </w:rPr>
        <w:t>“</w:t>
      </w:r>
      <w:r w:rsidRPr="00302235">
        <w:rPr>
          <w:rFonts w:hAnsiTheme="minorEastAsia"/>
          <w:sz w:val="24"/>
        </w:rPr>
        <w:t>中心开启装置</w:t>
      </w:r>
      <w:r>
        <w:rPr>
          <w:rFonts w:hAnsiTheme="minorEastAsia" w:hint="eastAsia"/>
          <w:sz w:val="24"/>
        </w:rPr>
        <w:t>”</w:t>
      </w:r>
      <w:r w:rsidRPr="00302235">
        <w:rPr>
          <w:rFonts w:hAnsiTheme="minorEastAsia"/>
          <w:sz w:val="24"/>
        </w:rPr>
        <w:t>有相似之处，但手轮</w:t>
      </w:r>
      <w:r>
        <w:rPr>
          <w:rFonts w:hAnsiTheme="minorEastAsia"/>
          <w:sz w:val="24"/>
        </w:rPr>
        <w:t>开启型式及联动装置</w:t>
      </w:r>
      <w:r w:rsidRPr="00302235">
        <w:rPr>
          <w:rFonts w:hAnsiTheme="minorEastAsia"/>
          <w:sz w:val="24"/>
        </w:rPr>
        <w:t>早就存在</w:t>
      </w:r>
      <w:r w:rsidRPr="00302235">
        <w:rPr>
          <w:rFonts w:hAnsiTheme="minorEastAsia" w:hint="eastAsia"/>
          <w:sz w:val="24"/>
        </w:rPr>
        <w:t>于行业标准C</w:t>
      </w:r>
      <w:r w:rsidRPr="00302235">
        <w:rPr>
          <w:rFonts w:hAnsiTheme="minorEastAsia"/>
          <w:sz w:val="24"/>
        </w:rPr>
        <w:t>B529-66</w:t>
      </w:r>
      <w:r>
        <w:rPr>
          <w:rFonts w:hAnsiTheme="minorEastAsia"/>
          <w:sz w:val="24"/>
        </w:rPr>
        <w:t>，及团体标准</w:t>
      </w:r>
      <w:r>
        <w:rPr>
          <w:rFonts w:hAnsiTheme="minorEastAsia" w:hint="eastAsia"/>
          <w:sz w:val="24"/>
        </w:rPr>
        <w:t>T</w:t>
      </w:r>
      <w:r>
        <w:rPr>
          <w:rFonts w:hAnsiTheme="minorEastAsia"/>
          <w:sz w:val="24"/>
        </w:rPr>
        <w:t>/CANSI30-2020。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/>
          <w:sz w:val="24"/>
        </w:rPr>
        <w:t>其专利</w:t>
      </w:r>
      <w:r>
        <w:rPr>
          <w:rFonts w:hAnsiTheme="minorEastAsia"/>
          <w:sz w:val="24"/>
        </w:rPr>
        <w:t>阐述其</w:t>
      </w:r>
      <w:r w:rsidRPr="00302235">
        <w:rPr>
          <w:rFonts w:hAnsiTheme="minorEastAsia"/>
          <w:sz w:val="24"/>
        </w:rPr>
        <w:t>发明的技术优势在于</w:t>
      </w:r>
      <w:r>
        <w:rPr>
          <w:rFonts w:hAnsiTheme="minorEastAsia" w:hint="eastAsia"/>
          <w:sz w:val="24"/>
        </w:rPr>
        <w:t>: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 w:hint="eastAsia"/>
          <w:sz w:val="24"/>
        </w:rPr>
        <w:t>第一、采用玻璃棉填充具有吸声降噪的功能，同时也使盖板强度大大提升，本方案的强度是现有单层盖板强度的五倍以上；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 w:hint="eastAsia"/>
          <w:sz w:val="24"/>
        </w:rPr>
        <w:t>第二、采用多联动连杆机构可以使舱口盖实现快速启闭；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 w:hint="eastAsia"/>
          <w:sz w:val="24"/>
        </w:rPr>
        <w:t>第三、锁块底部的倾斜面可以对连杆进行快速导向固定；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 w:hint="eastAsia"/>
          <w:sz w:val="24"/>
        </w:rPr>
        <w:t>第四、采用橡胶环垫和承托壁机构，橡胶环垫和承托壁之间为柔性与刚性嵌接，使盖板在扣合后密封性更好，防水性能大大提升；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 w:hint="eastAsia"/>
          <w:sz w:val="24"/>
        </w:rPr>
        <w:t>第五、采用四条连杆机构，使锁定力均匀分布，大大增强了密封性和机构可靠性。</w:t>
      </w:r>
    </w:p>
    <w:p w:rsidR="00302235" w:rsidRPr="00302235" w:rsidRDefault="00302235" w:rsidP="00302235">
      <w:pPr>
        <w:spacing w:line="400" w:lineRule="exact"/>
        <w:ind w:firstLine="495"/>
        <w:jc w:val="left"/>
        <w:rPr>
          <w:rFonts w:hAnsiTheme="minorEastAsia"/>
          <w:sz w:val="24"/>
        </w:rPr>
      </w:pPr>
      <w:r w:rsidRPr="00302235">
        <w:rPr>
          <w:rFonts w:hAnsiTheme="minorEastAsia"/>
          <w:sz w:val="24"/>
        </w:rPr>
        <w:t>其实，内业人员都知道，第</w:t>
      </w:r>
      <w:r w:rsidRPr="00302235">
        <w:rPr>
          <w:rFonts w:hAnsiTheme="minorEastAsia" w:hint="eastAsia"/>
          <w:sz w:val="24"/>
        </w:rPr>
        <w:t>1点是没有相类似的标准可参考；其他点可以在C</w:t>
      </w:r>
      <w:r w:rsidRPr="00302235">
        <w:rPr>
          <w:rFonts w:hAnsiTheme="minorEastAsia"/>
          <w:sz w:val="24"/>
        </w:rPr>
        <w:t>B529</w:t>
      </w:r>
      <w:r>
        <w:rPr>
          <w:rFonts w:hAnsiTheme="minorEastAsia"/>
          <w:sz w:val="24"/>
        </w:rPr>
        <w:t>及团体标准</w:t>
      </w:r>
      <w:r>
        <w:rPr>
          <w:rFonts w:hAnsiTheme="minorEastAsia" w:hint="eastAsia"/>
          <w:sz w:val="24"/>
        </w:rPr>
        <w:t>T</w:t>
      </w:r>
      <w:r>
        <w:rPr>
          <w:rFonts w:hAnsiTheme="minorEastAsia"/>
          <w:sz w:val="24"/>
        </w:rPr>
        <w:t>/CANSI30-2020找到参考</w:t>
      </w:r>
      <w:r>
        <w:rPr>
          <w:rFonts w:hAnsiTheme="minorEastAsia" w:hint="eastAsia"/>
          <w:sz w:val="24"/>
        </w:rPr>
        <w:t>.</w:t>
      </w:r>
    </w:p>
    <w:p w:rsidR="00CE0EFC" w:rsidRPr="005E01D2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五、预期达到的</w:t>
      </w:r>
      <w:r w:rsidRPr="005E01D2">
        <w:rPr>
          <w:rFonts w:hAnsiTheme="minorEastAsia" w:hint="eastAsia"/>
          <w:b/>
          <w:sz w:val="24"/>
        </w:rPr>
        <w:t>经济</w:t>
      </w:r>
      <w:r>
        <w:rPr>
          <w:rFonts w:hAnsiTheme="minorEastAsia" w:hint="eastAsia"/>
          <w:b/>
          <w:sz w:val="24"/>
        </w:rPr>
        <w:t>社会效益</w:t>
      </w:r>
    </w:p>
    <w:p w:rsidR="00353363" w:rsidRDefault="000158DD" w:rsidP="00786725">
      <w:pPr>
        <w:spacing w:line="400" w:lineRule="exact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/>
          <w:sz w:val="24"/>
        </w:rPr>
        <w:t>一旦经船级社认可，提供船用产品证书</w:t>
      </w:r>
      <w:r w:rsidR="00353363">
        <w:rPr>
          <w:rFonts w:hAnsiTheme="minorEastAsia"/>
          <w:sz w:val="24"/>
        </w:rPr>
        <w:t>，</w:t>
      </w:r>
      <w:r w:rsidR="001C135F">
        <w:rPr>
          <w:rFonts w:hAnsiTheme="minorEastAsia"/>
          <w:sz w:val="24"/>
        </w:rPr>
        <w:t>可大大减少现场报验的国、内外船东和船检提出</w:t>
      </w:r>
      <w:r w:rsidR="00353363">
        <w:rPr>
          <w:rFonts w:hAnsiTheme="minorEastAsia"/>
          <w:sz w:val="24"/>
        </w:rPr>
        <w:t>反复修改</w:t>
      </w:r>
      <w:r w:rsidR="001C135F">
        <w:rPr>
          <w:rFonts w:hAnsiTheme="minorEastAsia"/>
          <w:sz w:val="24"/>
        </w:rPr>
        <w:t>。</w:t>
      </w:r>
      <w:r w:rsidR="00353363">
        <w:rPr>
          <w:rFonts w:hAnsiTheme="minorEastAsia"/>
          <w:sz w:val="24"/>
        </w:rPr>
        <w:t>同时提升</w:t>
      </w:r>
      <w:r w:rsidR="001C135F">
        <w:rPr>
          <w:rFonts w:hAnsiTheme="minorEastAsia"/>
          <w:sz w:val="24"/>
        </w:rPr>
        <w:t>了</w:t>
      </w:r>
      <w:r w:rsidR="00353363">
        <w:rPr>
          <w:rFonts w:hAnsiTheme="minorEastAsia"/>
          <w:sz w:val="24"/>
        </w:rPr>
        <w:t>公司</w:t>
      </w:r>
      <w:r w:rsidR="004255AA">
        <w:rPr>
          <w:rFonts w:hAnsiTheme="minorEastAsia" w:hint="eastAsia"/>
          <w:sz w:val="24"/>
        </w:rPr>
        <w:t>在</w:t>
      </w:r>
      <w:r w:rsidR="00353363">
        <w:rPr>
          <w:rFonts w:hAnsiTheme="minorEastAsia"/>
          <w:sz w:val="24"/>
        </w:rPr>
        <w:t>国内</w:t>
      </w:r>
      <w:r w:rsidR="004255AA">
        <w:rPr>
          <w:rFonts w:hAnsiTheme="minorEastAsia"/>
          <w:sz w:val="24"/>
        </w:rPr>
        <w:t>、</w:t>
      </w:r>
      <w:r w:rsidR="00353363">
        <w:rPr>
          <w:rFonts w:hAnsiTheme="minorEastAsia"/>
          <w:sz w:val="24"/>
        </w:rPr>
        <w:t>外的知名度，</w:t>
      </w:r>
      <w:r w:rsidR="004255AA">
        <w:rPr>
          <w:rFonts w:hAnsiTheme="minorEastAsia"/>
          <w:sz w:val="24"/>
        </w:rPr>
        <w:t>进而</w:t>
      </w:r>
      <w:r w:rsidR="00353363">
        <w:rPr>
          <w:rFonts w:hAnsiTheme="minorEastAsia"/>
          <w:sz w:val="24"/>
        </w:rPr>
        <w:t>提</w:t>
      </w:r>
      <w:r w:rsidR="004255AA">
        <w:rPr>
          <w:rFonts w:hAnsiTheme="minorEastAsia" w:hint="eastAsia"/>
          <w:sz w:val="24"/>
        </w:rPr>
        <w:t>升</w:t>
      </w:r>
      <w:r w:rsidR="00353363">
        <w:rPr>
          <w:rFonts w:hAnsiTheme="minorEastAsia"/>
          <w:sz w:val="24"/>
        </w:rPr>
        <w:t>公司的竞争力。</w:t>
      </w:r>
    </w:p>
    <w:p w:rsidR="00CE0EF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六</w:t>
      </w:r>
      <w:r w:rsidRPr="00EE583D">
        <w:rPr>
          <w:rFonts w:hAnsiTheme="minorEastAsia" w:hint="eastAsia"/>
          <w:b/>
          <w:sz w:val="24"/>
        </w:rPr>
        <w:t>、采用国际标准</w:t>
      </w:r>
      <w:r>
        <w:rPr>
          <w:rFonts w:hAnsiTheme="minorEastAsia" w:hint="eastAsia"/>
          <w:b/>
          <w:sz w:val="24"/>
        </w:rPr>
        <w:t>和国外先进标准情况</w:t>
      </w:r>
    </w:p>
    <w:p w:rsidR="00353363" w:rsidRPr="00353363" w:rsidRDefault="00596ADF" w:rsidP="00786725">
      <w:pPr>
        <w:spacing w:line="400" w:lineRule="exact"/>
        <w:ind w:firstLineChars="200" w:firstLine="480"/>
        <w:jc w:val="left"/>
      </w:pPr>
      <w:r w:rsidRPr="00353363">
        <w:rPr>
          <w:rFonts w:hAnsiTheme="minorEastAsia"/>
          <w:sz w:val="24"/>
        </w:rPr>
        <w:t>无</w:t>
      </w:r>
      <w:r>
        <w:rPr>
          <w:rFonts w:hAnsiTheme="minorEastAsia"/>
          <w:sz w:val="24"/>
        </w:rPr>
        <w:t>。</w:t>
      </w:r>
    </w:p>
    <w:p w:rsidR="00CE0EFC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七</w:t>
      </w:r>
      <w:r w:rsidRPr="00EE583D">
        <w:rPr>
          <w:rFonts w:hAnsiTheme="minorEastAsia" w:hint="eastAsia"/>
          <w:b/>
          <w:sz w:val="24"/>
        </w:rPr>
        <w:t>、重大分歧意见的处理经过和依据</w:t>
      </w:r>
    </w:p>
    <w:p w:rsidR="00353363" w:rsidRPr="00353363" w:rsidRDefault="00353363" w:rsidP="00786725">
      <w:pPr>
        <w:spacing w:line="400" w:lineRule="exact"/>
        <w:ind w:firstLineChars="200" w:firstLine="480"/>
        <w:jc w:val="left"/>
        <w:rPr>
          <w:rFonts w:hAnsiTheme="minorEastAsia"/>
          <w:sz w:val="24"/>
        </w:rPr>
      </w:pPr>
      <w:r w:rsidRPr="00353363">
        <w:rPr>
          <w:rFonts w:hAnsiTheme="minorEastAsia"/>
          <w:sz w:val="24"/>
        </w:rPr>
        <w:t>无</w:t>
      </w:r>
      <w:r>
        <w:rPr>
          <w:rFonts w:hAnsiTheme="minorEastAsia"/>
          <w:sz w:val="24"/>
        </w:rPr>
        <w:t>。</w:t>
      </w:r>
    </w:p>
    <w:p w:rsidR="00CE0EFC" w:rsidRPr="00EE583D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八</w:t>
      </w:r>
      <w:r w:rsidRPr="00EE583D">
        <w:rPr>
          <w:rFonts w:hAnsiTheme="minorEastAsia" w:hint="eastAsia"/>
          <w:b/>
          <w:sz w:val="24"/>
        </w:rPr>
        <w:t>、贯彻学会标准的要求和措施建议</w:t>
      </w:r>
    </w:p>
    <w:p w:rsidR="000158DD" w:rsidRDefault="00451A26" w:rsidP="00786725">
      <w:pPr>
        <w:spacing w:line="400" w:lineRule="exact"/>
        <w:ind w:firstLineChars="200" w:firstLine="480"/>
        <w:jc w:val="left"/>
        <w:rPr>
          <w:rFonts w:hAnsiTheme="minorEastAsia"/>
          <w:sz w:val="24"/>
        </w:rPr>
      </w:pPr>
      <w:r>
        <w:rPr>
          <w:rFonts w:ascii="宋体" w:eastAsia="宋体" w:hAnsi="宋体" w:cs="宋体"/>
          <w:sz w:val="24"/>
          <w:szCs w:val="24"/>
        </w:rPr>
        <w:lastRenderedPageBreak/>
        <w:t>1）</w:t>
      </w:r>
      <w:r w:rsidR="00E05DAB" w:rsidRPr="00E05DAB">
        <w:rPr>
          <w:rFonts w:ascii="宋体" w:eastAsia="宋体" w:hAnsi="宋体" w:cs="宋体" w:hint="eastAsia"/>
          <w:sz w:val="24"/>
          <w:szCs w:val="24"/>
        </w:rPr>
        <w:t>特别提醒，</w:t>
      </w:r>
      <w:r>
        <w:rPr>
          <w:rFonts w:hAnsiTheme="minorEastAsia" w:hint="eastAsia"/>
          <w:sz w:val="24"/>
        </w:rPr>
        <w:t>制作合格后制造厂家需提供船级社的船用产品证书；</w:t>
      </w:r>
    </w:p>
    <w:p w:rsidR="00451A26" w:rsidRDefault="00451A26" w:rsidP="00451A26">
      <w:pPr>
        <w:spacing w:line="40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</w:t>
      </w:r>
      <w:r w:rsidRPr="00E05DAB">
        <w:rPr>
          <w:rFonts w:ascii="宋体" w:eastAsia="宋体" w:hAnsi="宋体" w:cs="宋体" w:hint="eastAsia"/>
          <w:sz w:val="24"/>
          <w:szCs w:val="24"/>
        </w:rPr>
        <w:t>本标准属于产品类，建议为推荐标准</w:t>
      </w:r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451A26" w:rsidRPr="00451A26" w:rsidRDefault="00451A26" w:rsidP="00451A26">
      <w:pPr>
        <w:spacing w:line="40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3）本标准的制定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，对同类产品</w:t>
      </w:r>
      <w:r>
        <w:rPr>
          <w:rFonts w:ascii="宋体" w:eastAsia="宋体" w:hAnsi="宋体" w:cs="宋体" w:hint="eastAsia"/>
          <w:sz w:val="24"/>
          <w:szCs w:val="24"/>
        </w:rPr>
        <w:t>具有引领性，建议尽快发布实施。</w:t>
      </w:r>
    </w:p>
    <w:p w:rsidR="00451A26" w:rsidRPr="00E05DAB" w:rsidRDefault="00451A26" w:rsidP="00786725">
      <w:pPr>
        <w:spacing w:line="400" w:lineRule="exact"/>
        <w:ind w:firstLineChars="200" w:firstLine="480"/>
        <w:jc w:val="left"/>
        <w:rPr>
          <w:rFonts w:hAnsiTheme="minorEastAsia"/>
          <w:b/>
          <w:sz w:val="24"/>
        </w:rPr>
      </w:pPr>
      <w:r>
        <w:rPr>
          <w:rFonts w:ascii="宋体" w:eastAsia="宋体" w:hAnsi="宋体" w:cs="宋体"/>
          <w:sz w:val="24"/>
          <w:szCs w:val="24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）在标准实施后，标准编写单位与标准使用单位保持沟通，对于标准中存在的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技术或产品</w:t>
      </w:r>
      <w:r>
        <w:rPr>
          <w:rFonts w:ascii="宋体" w:eastAsia="宋体" w:hAnsi="宋体" w:cs="宋体" w:hint="eastAsia"/>
          <w:sz w:val="24"/>
          <w:szCs w:val="24"/>
        </w:rPr>
        <w:t>问题及时研究</w:t>
      </w:r>
      <w:r>
        <w:rPr>
          <w:rFonts w:ascii="宋体" w:eastAsia="宋体" w:hAnsi="宋体" w:cs="宋体" w:hint="eastAsia"/>
          <w:sz w:val="24"/>
          <w:szCs w:val="24"/>
          <w:lang w:val="en-US"/>
        </w:rPr>
        <w:t>分析</w:t>
      </w:r>
      <w:r>
        <w:rPr>
          <w:rFonts w:ascii="宋体" w:eastAsia="宋体" w:hAnsi="宋体" w:cs="宋体" w:hint="eastAsia"/>
          <w:sz w:val="24"/>
          <w:szCs w:val="24"/>
        </w:rPr>
        <w:t>，保证标准的准确实施。</w:t>
      </w:r>
    </w:p>
    <w:p w:rsidR="00CE0EFC" w:rsidRPr="00E05DAB" w:rsidRDefault="00CE0EFC" w:rsidP="00786725">
      <w:pPr>
        <w:spacing w:line="400" w:lineRule="exact"/>
        <w:jc w:val="left"/>
        <w:rPr>
          <w:rFonts w:hAnsiTheme="minorEastAsia"/>
          <w:b/>
          <w:sz w:val="24"/>
        </w:rPr>
      </w:pPr>
      <w:r w:rsidRPr="00E05DAB">
        <w:rPr>
          <w:rFonts w:hAnsiTheme="minorEastAsia" w:hint="eastAsia"/>
          <w:b/>
          <w:sz w:val="24"/>
        </w:rPr>
        <w:t>九、其它应予说明的事项</w:t>
      </w:r>
    </w:p>
    <w:p w:rsidR="00B439F8" w:rsidRPr="00CE0EFC" w:rsidRDefault="00353363" w:rsidP="00786725">
      <w:pPr>
        <w:spacing w:line="400" w:lineRule="exact"/>
        <w:ind w:firstLineChars="100" w:firstLine="240"/>
        <w:jc w:val="left"/>
      </w:pPr>
      <w:r w:rsidRPr="00E05DAB">
        <w:rPr>
          <w:rFonts w:hAnsiTheme="minorEastAsia"/>
          <w:sz w:val="24"/>
        </w:rPr>
        <w:t>无。</w:t>
      </w:r>
    </w:p>
    <w:sectPr w:rsidR="00B439F8" w:rsidRPr="00CE0E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7F" w:rsidRDefault="00583F7F" w:rsidP="00302235">
      <w:r>
        <w:separator/>
      </w:r>
    </w:p>
  </w:endnote>
  <w:endnote w:type="continuationSeparator" w:id="0">
    <w:p w:rsidR="00583F7F" w:rsidRDefault="00583F7F" w:rsidP="0030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7F" w:rsidRDefault="00583F7F" w:rsidP="00302235">
      <w:r>
        <w:separator/>
      </w:r>
    </w:p>
  </w:footnote>
  <w:footnote w:type="continuationSeparator" w:id="0">
    <w:p w:rsidR="00583F7F" w:rsidRDefault="00583F7F" w:rsidP="00302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FC"/>
    <w:rsid w:val="000158DD"/>
    <w:rsid w:val="001C135F"/>
    <w:rsid w:val="00210468"/>
    <w:rsid w:val="002D1225"/>
    <w:rsid w:val="00302235"/>
    <w:rsid w:val="003450D5"/>
    <w:rsid w:val="00353363"/>
    <w:rsid w:val="00422027"/>
    <w:rsid w:val="004255AA"/>
    <w:rsid w:val="00451A26"/>
    <w:rsid w:val="004A342D"/>
    <w:rsid w:val="00521C58"/>
    <w:rsid w:val="00576FA4"/>
    <w:rsid w:val="00583F7F"/>
    <w:rsid w:val="00596ADF"/>
    <w:rsid w:val="0064072D"/>
    <w:rsid w:val="00710D51"/>
    <w:rsid w:val="00786725"/>
    <w:rsid w:val="007C5EB6"/>
    <w:rsid w:val="007D1E03"/>
    <w:rsid w:val="009378EE"/>
    <w:rsid w:val="009D0FF7"/>
    <w:rsid w:val="00B439F8"/>
    <w:rsid w:val="00CE0EFC"/>
    <w:rsid w:val="00D06FAD"/>
    <w:rsid w:val="00D63077"/>
    <w:rsid w:val="00E0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C79A43-E69A-4FC8-AFEA-E9DC7638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EFC"/>
    <w:pPr>
      <w:widowControl w:val="0"/>
      <w:jc w:val="both"/>
    </w:pPr>
    <w:rPr>
      <w:rFonts w:asciiTheme="minorEastAsia" w:cs="Times New Roman"/>
      <w:snapToGrid w:val="0"/>
      <w:kern w:val="0"/>
      <w:szCs w:val="21"/>
      <w:lang w:val="en-GB"/>
    </w:rPr>
  </w:style>
  <w:style w:type="paragraph" w:styleId="4">
    <w:name w:val="heading 4"/>
    <w:basedOn w:val="a"/>
    <w:next w:val="a"/>
    <w:link w:val="4Char"/>
    <w:uiPriority w:val="9"/>
    <w:unhideWhenUsed/>
    <w:qFormat/>
    <w:rsid w:val="00210468"/>
    <w:pPr>
      <w:spacing w:beforeAutospacing="1" w:afterAutospacing="1"/>
      <w:jc w:val="left"/>
      <w:outlineLvl w:val="3"/>
    </w:pPr>
    <w:rPr>
      <w:rFonts w:ascii="宋体" w:eastAsia="宋体" w:hAnsi="宋体" w:hint="eastAsia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210468"/>
    <w:rPr>
      <w:rFonts w:ascii="宋体" w:eastAsia="宋体" w:hAnsi="宋体" w:cs="Times New Roman"/>
      <w:b/>
      <w:bCs/>
      <w:snapToGrid w:val="0"/>
      <w:kern w:val="0"/>
      <w:sz w:val="24"/>
      <w:szCs w:val="24"/>
    </w:rPr>
  </w:style>
  <w:style w:type="paragraph" w:customStyle="1" w:styleId="a3">
    <w:name w:val="段"/>
    <w:link w:val="Char"/>
    <w:rsid w:val="0035336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">
    <w:name w:val="段 Char"/>
    <w:link w:val="a3"/>
    <w:rsid w:val="00353363"/>
    <w:rPr>
      <w:rFonts w:ascii="宋体" w:eastAsia="宋体" w:hAnsi="Times New Roman" w:cs="Times New Roman"/>
      <w:kern w:val="0"/>
      <w:szCs w:val="20"/>
    </w:rPr>
  </w:style>
  <w:style w:type="paragraph" w:styleId="a4">
    <w:name w:val="header"/>
    <w:basedOn w:val="a"/>
    <w:link w:val="Char0"/>
    <w:uiPriority w:val="99"/>
    <w:unhideWhenUsed/>
    <w:rsid w:val="00302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02235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styleId="a5">
    <w:name w:val="footer"/>
    <w:basedOn w:val="a"/>
    <w:link w:val="Char1"/>
    <w:uiPriority w:val="99"/>
    <w:unhideWhenUsed/>
    <w:rsid w:val="00302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02235"/>
    <w:rPr>
      <w:rFonts w:asciiTheme="minorEastAsia" w:cs="Times New Roman"/>
      <w:snapToGrid w:val="0"/>
      <w:kern w:val="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5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836</Words>
  <Characters>1047</Characters>
  <Application>Microsoft Office Word</Application>
  <DocSecurity>0</DocSecurity>
  <Lines>174</Lines>
  <Paragraphs>156</Paragraphs>
  <ScaleCrop>false</ScaleCrop>
  <Company>Microsoft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2024-09-09T09:14:00Z</dcterms:created>
  <dcterms:modified xsi:type="dcterms:W3CDTF">2024-11-05T02:32:00Z</dcterms:modified>
</cp:coreProperties>
</file>