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AA2257" w14:textId="77777777" w:rsidR="00C3423D" w:rsidRDefault="00C3423D" w:rsidP="00C3423D">
      <w:pPr>
        <w:spacing w:line="360" w:lineRule="auto"/>
        <w:jc w:val="left"/>
        <w:outlineLvl w:val="0"/>
        <w:rPr>
          <w:rFonts w:ascii="黑体" w:eastAsia="黑体" w:hAnsi="华文细黑"/>
          <w:sz w:val="24"/>
        </w:rPr>
      </w:pPr>
      <w:r>
        <w:rPr>
          <w:rFonts w:ascii="黑体" w:eastAsia="黑体" w:hAnsi="华文细黑" w:hint="eastAsia"/>
          <w:sz w:val="24"/>
        </w:rPr>
        <w:t>附件1</w:t>
      </w:r>
    </w:p>
    <w:p w14:paraId="6BF458F1" w14:textId="77777777" w:rsidR="00C3423D" w:rsidRDefault="00C3423D" w:rsidP="006D78C1">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71"/>
        <w:gridCol w:w="425"/>
        <w:gridCol w:w="425"/>
        <w:gridCol w:w="851"/>
        <w:gridCol w:w="709"/>
        <w:gridCol w:w="2674"/>
      </w:tblGrid>
      <w:tr w:rsidR="003B0188" w14:paraId="55E02CE5" w14:textId="77777777" w:rsidTr="00716538">
        <w:trPr>
          <w:trHeight w:val="605"/>
          <w:jc w:val="center"/>
        </w:trPr>
        <w:tc>
          <w:tcPr>
            <w:tcW w:w="1980" w:type="dxa"/>
            <w:vAlign w:val="center"/>
          </w:tcPr>
          <w:p w14:paraId="180500C7" w14:textId="77777777" w:rsidR="003B0188" w:rsidRDefault="003B0188" w:rsidP="003B0188">
            <w:pPr>
              <w:rPr>
                <w:sz w:val="24"/>
              </w:rPr>
            </w:pPr>
            <w:r>
              <w:rPr>
                <w:rFonts w:hint="eastAsia"/>
                <w:sz w:val="24"/>
              </w:rPr>
              <w:t>项目名称（中文）</w:t>
            </w:r>
          </w:p>
        </w:tc>
        <w:tc>
          <w:tcPr>
            <w:tcW w:w="7255" w:type="dxa"/>
            <w:gridSpan w:val="6"/>
            <w:vAlign w:val="center"/>
          </w:tcPr>
          <w:p w14:paraId="12FB8313" w14:textId="16AB8DD7" w:rsidR="003B0188" w:rsidRDefault="003B0188" w:rsidP="003B0188">
            <w:pPr>
              <w:jc w:val="center"/>
              <w:rPr>
                <w:sz w:val="24"/>
                <w:szCs w:val="24"/>
              </w:rPr>
            </w:pPr>
            <w:bookmarkStart w:id="0" w:name="OLE_LINK1"/>
            <w:r>
              <w:rPr>
                <w:rFonts w:hint="eastAsia"/>
                <w:sz w:val="24"/>
                <w:lang w:val="en-US"/>
              </w:rPr>
              <w:t>风流联合发电装置</w:t>
            </w:r>
            <w:bookmarkEnd w:id="0"/>
            <w:r>
              <w:rPr>
                <w:rFonts w:hint="eastAsia"/>
                <w:sz w:val="24"/>
                <w:lang w:val="en-US"/>
              </w:rPr>
              <w:t>模型试验技术要求</w:t>
            </w:r>
          </w:p>
        </w:tc>
      </w:tr>
      <w:tr w:rsidR="003B0188" w14:paraId="77007E3E" w14:textId="77777777" w:rsidTr="00716538">
        <w:trPr>
          <w:trHeight w:val="605"/>
          <w:jc w:val="center"/>
        </w:trPr>
        <w:tc>
          <w:tcPr>
            <w:tcW w:w="1980" w:type="dxa"/>
            <w:vAlign w:val="center"/>
          </w:tcPr>
          <w:p w14:paraId="1427217D" w14:textId="77777777" w:rsidR="003B0188" w:rsidRDefault="003B0188" w:rsidP="003B0188">
            <w:pPr>
              <w:rPr>
                <w:sz w:val="24"/>
              </w:rPr>
            </w:pPr>
            <w:r>
              <w:rPr>
                <w:rFonts w:hint="eastAsia"/>
                <w:sz w:val="24"/>
              </w:rPr>
              <w:t>项目名称（英文）</w:t>
            </w:r>
          </w:p>
        </w:tc>
        <w:tc>
          <w:tcPr>
            <w:tcW w:w="7255" w:type="dxa"/>
            <w:gridSpan w:val="6"/>
            <w:vAlign w:val="center"/>
          </w:tcPr>
          <w:p w14:paraId="3C3C7926" w14:textId="4E6D3883" w:rsidR="003B0188" w:rsidRDefault="003B0188" w:rsidP="003B0188">
            <w:pPr>
              <w:jc w:val="center"/>
              <w:rPr>
                <w:sz w:val="24"/>
                <w:szCs w:val="24"/>
              </w:rPr>
            </w:pPr>
            <w:r w:rsidRPr="005725D0">
              <w:rPr>
                <w:sz w:val="24"/>
                <w:lang w:val="en-US"/>
              </w:rPr>
              <w:t xml:space="preserve">Technical requirements </w:t>
            </w:r>
            <w:r>
              <w:rPr>
                <w:rFonts w:hint="eastAsia"/>
                <w:sz w:val="24"/>
                <w:lang w:val="en-US"/>
              </w:rPr>
              <w:t>for</w:t>
            </w:r>
            <w:r w:rsidRPr="005725D0">
              <w:rPr>
                <w:sz w:val="24"/>
                <w:lang w:val="en-US"/>
              </w:rPr>
              <w:t xml:space="preserve"> model experiment of </w:t>
            </w:r>
            <w:r>
              <w:rPr>
                <w:rFonts w:hint="eastAsia"/>
                <w:sz w:val="24"/>
                <w:lang w:val="en-US"/>
              </w:rPr>
              <w:t>hybrid wind-tidal</w:t>
            </w:r>
            <w:r w:rsidRPr="005725D0">
              <w:rPr>
                <w:sz w:val="24"/>
                <w:lang w:val="en-US"/>
              </w:rPr>
              <w:t xml:space="preserve"> combined power generation device</w:t>
            </w:r>
          </w:p>
        </w:tc>
      </w:tr>
      <w:tr w:rsidR="003B0188" w14:paraId="36427D29" w14:textId="77777777" w:rsidTr="00716538">
        <w:trPr>
          <w:trHeight w:val="540"/>
          <w:jc w:val="center"/>
        </w:trPr>
        <w:tc>
          <w:tcPr>
            <w:tcW w:w="1980" w:type="dxa"/>
            <w:vAlign w:val="center"/>
          </w:tcPr>
          <w:p w14:paraId="68F80FC0" w14:textId="77777777" w:rsidR="003B0188" w:rsidRDefault="003B0188" w:rsidP="003B0188">
            <w:pPr>
              <w:jc w:val="center"/>
              <w:rPr>
                <w:sz w:val="24"/>
              </w:rPr>
            </w:pPr>
            <w:r>
              <w:rPr>
                <w:rFonts w:hint="eastAsia"/>
                <w:sz w:val="24"/>
              </w:rPr>
              <w:t>制修订</w:t>
            </w:r>
          </w:p>
        </w:tc>
        <w:tc>
          <w:tcPr>
            <w:tcW w:w="2171" w:type="dxa"/>
            <w:vAlign w:val="center"/>
          </w:tcPr>
          <w:p w14:paraId="0F812314" w14:textId="77777777" w:rsidR="003B0188" w:rsidRDefault="003B0188" w:rsidP="003B0188">
            <w:pPr>
              <w:jc w:val="center"/>
              <w:rPr>
                <w:sz w:val="24"/>
              </w:rPr>
            </w:pPr>
            <w:r>
              <w:rPr>
                <w:rFonts w:ascii="宋体" w:hAnsi="宋体" w:hint="eastAsia"/>
                <w:sz w:val="24"/>
                <w:szCs w:val="24"/>
              </w:rPr>
              <w:t>☑</w:t>
            </w:r>
            <w:r>
              <w:rPr>
                <w:rFonts w:hAnsiTheme="minorEastAsia" w:hint="eastAsia"/>
                <w:sz w:val="24"/>
              </w:rPr>
              <w:t>制定   □修订</w:t>
            </w:r>
          </w:p>
        </w:tc>
        <w:tc>
          <w:tcPr>
            <w:tcW w:w="1701" w:type="dxa"/>
            <w:gridSpan w:val="3"/>
            <w:vAlign w:val="center"/>
          </w:tcPr>
          <w:p w14:paraId="682B6013" w14:textId="77777777" w:rsidR="003B0188" w:rsidRDefault="003B0188" w:rsidP="003B0188">
            <w:pPr>
              <w:jc w:val="center"/>
              <w:rPr>
                <w:sz w:val="24"/>
              </w:rPr>
            </w:pPr>
            <w:r>
              <w:rPr>
                <w:rFonts w:hint="eastAsia"/>
                <w:sz w:val="24"/>
              </w:rPr>
              <w:t>被修订标准号</w:t>
            </w:r>
          </w:p>
        </w:tc>
        <w:tc>
          <w:tcPr>
            <w:tcW w:w="3383" w:type="dxa"/>
            <w:gridSpan w:val="2"/>
            <w:vAlign w:val="center"/>
          </w:tcPr>
          <w:p w14:paraId="6311A060" w14:textId="77777777" w:rsidR="003B0188" w:rsidRDefault="003B0188" w:rsidP="003B0188">
            <w:pPr>
              <w:rPr>
                <w:sz w:val="24"/>
              </w:rPr>
            </w:pPr>
          </w:p>
        </w:tc>
      </w:tr>
      <w:tr w:rsidR="003B0188" w14:paraId="10CEC913" w14:textId="77777777" w:rsidTr="00716538">
        <w:trPr>
          <w:trHeight w:val="540"/>
          <w:jc w:val="center"/>
        </w:trPr>
        <w:tc>
          <w:tcPr>
            <w:tcW w:w="1980" w:type="dxa"/>
            <w:vAlign w:val="center"/>
          </w:tcPr>
          <w:p w14:paraId="2FC85228" w14:textId="77777777" w:rsidR="003B0188" w:rsidRDefault="003B0188" w:rsidP="003B0188">
            <w:pPr>
              <w:jc w:val="center"/>
              <w:rPr>
                <w:sz w:val="24"/>
              </w:rPr>
            </w:pPr>
            <w:r>
              <w:rPr>
                <w:rFonts w:hint="eastAsia"/>
                <w:sz w:val="24"/>
              </w:rPr>
              <w:t>被修订标准名称</w:t>
            </w:r>
          </w:p>
        </w:tc>
        <w:tc>
          <w:tcPr>
            <w:tcW w:w="2171" w:type="dxa"/>
            <w:vAlign w:val="center"/>
          </w:tcPr>
          <w:p w14:paraId="33048E37" w14:textId="77777777" w:rsidR="003B0188" w:rsidRDefault="003B0188" w:rsidP="003B0188">
            <w:pPr>
              <w:jc w:val="center"/>
              <w:rPr>
                <w:rFonts w:hAnsiTheme="minorEastAsia"/>
                <w:sz w:val="24"/>
              </w:rPr>
            </w:pPr>
          </w:p>
        </w:tc>
        <w:tc>
          <w:tcPr>
            <w:tcW w:w="1701" w:type="dxa"/>
            <w:gridSpan w:val="3"/>
            <w:vAlign w:val="center"/>
          </w:tcPr>
          <w:p w14:paraId="50D0AAF9" w14:textId="77777777" w:rsidR="003B0188" w:rsidRDefault="003B0188" w:rsidP="003B0188">
            <w:pPr>
              <w:jc w:val="center"/>
              <w:rPr>
                <w:sz w:val="24"/>
              </w:rPr>
            </w:pPr>
            <w:r>
              <w:rPr>
                <w:rFonts w:hint="eastAsia"/>
                <w:sz w:val="24"/>
              </w:rPr>
              <w:t>编制周期</w:t>
            </w:r>
          </w:p>
        </w:tc>
        <w:tc>
          <w:tcPr>
            <w:tcW w:w="3383" w:type="dxa"/>
            <w:gridSpan w:val="2"/>
            <w:vAlign w:val="center"/>
          </w:tcPr>
          <w:p w14:paraId="703BE7DF" w14:textId="77777777" w:rsidR="003B0188" w:rsidRDefault="003B0188" w:rsidP="003B0188">
            <w:pPr>
              <w:rPr>
                <w:rFonts w:hAnsiTheme="minorEastAsia"/>
                <w:sz w:val="24"/>
              </w:rPr>
            </w:pPr>
            <w:r>
              <w:rPr>
                <w:rFonts w:ascii="宋体" w:hAnsi="宋体" w:hint="eastAsia"/>
                <w:sz w:val="24"/>
                <w:szCs w:val="24"/>
              </w:rPr>
              <w:t>☑</w:t>
            </w:r>
            <w:r>
              <w:rPr>
                <w:rFonts w:hAnsiTheme="minorEastAsia" w:hint="eastAsia"/>
                <w:sz w:val="24"/>
              </w:rPr>
              <w:t xml:space="preserve">12个月  □18个月   </w:t>
            </w:r>
          </w:p>
          <w:p w14:paraId="453B58E9" w14:textId="77777777" w:rsidR="003B0188" w:rsidRDefault="003B0188" w:rsidP="003B0188">
            <w:pPr>
              <w:rPr>
                <w:sz w:val="24"/>
              </w:rPr>
            </w:pPr>
            <w:r>
              <w:rPr>
                <w:rFonts w:hAnsiTheme="minorEastAsia" w:hint="eastAsia"/>
                <w:sz w:val="24"/>
              </w:rPr>
              <w:t>□其他</w:t>
            </w:r>
          </w:p>
        </w:tc>
      </w:tr>
      <w:tr w:rsidR="003B0188" w14:paraId="4DFF69EC" w14:textId="77777777" w:rsidTr="00716538">
        <w:trPr>
          <w:trHeight w:val="548"/>
          <w:jc w:val="center"/>
        </w:trPr>
        <w:tc>
          <w:tcPr>
            <w:tcW w:w="1980" w:type="dxa"/>
            <w:vAlign w:val="center"/>
          </w:tcPr>
          <w:p w14:paraId="68049CFD" w14:textId="77777777" w:rsidR="003B0188" w:rsidRDefault="003B0188" w:rsidP="003B0188">
            <w:pPr>
              <w:jc w:val="center"/>
              <w:rPr>
                <w:sz w:val="24"/>
              </w:rPr>
            </w:pPr>
            <w:r>
              <w:rPr>
                <w:rFonts w:hint="eastAsia"/>
                <w:sz w:val="24"/>
              </w:rPr>
              <w:t>起草单位</w:t>
            </w:r>
          </w:p>
          <w:p w14:paraId="140793DE" w14:textId="77777777" w:rsidR="003B0188" w:rsidRDefault="003B0188" w:rsidP="003B0188">
            <w:pPr>
              <w:jc w:val="center"/>
              <w:rPr>
                <w:sz w:val="24"/>
              </w:rPr>
            </w:pPr>
            <w:r>
              <w:rPr>
                <w:rFonts w:hint="eastAsia"/>
                <w:sz w:val="24"/>
              </w:rPr>
              <w:t>（不少于3家）</w:t>
            </w:r>
          </w:p>
        </w:tc>
        <w:tc>
          <w:tcPr>
            <w:tcW w:w="7255" w:type="dxa"/>
            <w:gridSpan w:val="6"/>
            <w:vAlign w:val="center"/>
          </w:tcPr>
          <w:p w14:paraId="01C06C17" w14:textId="70AFB841" w:rsidR="003B0188" w:rsidRDefault="003B0188" w:rsidP="003922A2">
            <w:pPr>
              <w:jc w:val="left"/>
              <w:rPr>
                <w:sz w:val="24"/>
              </w:rPr>
            </w:pPr>
            <w:r w:rsidRPr="003B0188">
              <w:rPr>
                <w:rFonts w:hint="eastAsia"/>
                <w:sz w:val="24"/>
              </w:rPr>
              <w:t>中山大学、埃米南（上海）科技有限公司、国家海洋技术中心、招商局海洋装备研究院有限公司、中交四航工程研究院有限公司、中国电建集团华东勘测设计研究院有限公司、</w:t>
            </w:r>
            <w:r w:rsidR="003922A2" w:rsidRPr="003922A2">
              <w:rPr>
                <w:rFonts w:hint="eastAsia"/>
                <w:sz w:val="24"/>
              </w:rPr>
              <w:t>南方电网科学研究院有限责任公司</w:t>
            </w:r>
            <w:r w:rsidRPr="003B0188">
              <w:rPr>
                <w:rFonts w:hint="eastAsia"/>
                <w:sz w:val="24"/>
              </w:rPr>
              <w:t>、哈尔滨工程大学、中船</w:t>
            </w:r>
            <w:proofErr w:type="gramStart"/>
            <w:r w:rsidRPr="003B0188">
              <w:rPr>
                <w:rFonts w:hint="eastAsia"/>
                <w:sz w:val="24"/>
              </w:rPr>
              <w:t>黄埔文</w:t>
            </w:r>
            <w:proofErr w:type="gramEnd"/>
            <w:r w:rsidRPr="003B0188">
              <w:rPr>
                <w:rFonts w:hint="eastAsia"/>
                <w:sz w:val="24"/>
              </w:rPr>
              <w:t>冲船舶有限公司、江苏科技大学、海斯比科技股份有限公司</w:t>
            </w:r>
          </w:p>
        </w:tc>
      </w:tr>
      <w:tr w:rsidR="00690BBA" w14:paraId="32105B58" w14:textId="77777777" w:rsidTr="00716538">
        <w:trPr>
          <w:trHeight w:val="548"/>
          <w:jc w:val="center"/>
        </w:trPr>
        <w:tc>
          <w:tcPr>
            <w:tcW w:w="1980" w:type="dxa"/>
            <w:vAlign w:val="center"/>
          </w:tcPr>
          <w:p w14:paraId="5A8F6C16" w14:textId="77777777" w:rsidR="00690BBA" w:rsidRDefault="00690BBA" w:rsidP="00690BBA">
            <w:pPr>
              <w:jc w:val="center"/>
              <w:rPr>
                <w:sz w:val="24"/>
              </w:rPr>
            </w:pPr>
            <w:r>
              <w:rPr>
                <w:rFonts w:hint="eastAsia"/>
                <w:sz w:val="24"/>
              </w:rPr>
              <w:t>联系人</w:t>
            </w:r>
          </w:p>
        </w:tc>
        <w:tc>
          <w:tcPr>
            <w:tcW w:w="2171" w:type="dxa"/>
            <w:vAlign w:val="center"/>
          </w:tcPr>
          <w:p w14:paraId="4B32614E" w14:textId="742563A6" w:rsidR="00690BBA" w:rsidRDefault="00690BBA" w:rsidP="00690BBA">
            <w:pPr>
              <w:jc w:val="center"/>
              <w:rPr>
                <w:sz w:val="24"/>
                <w:szCs w:val="24"/>
              </w:rPr>
            </w:pPr>
            <w:r>
              <w:rPr>
                <w:rFonts w:hint="eastAsia"/>
                <w:sz w:val="24"/>
              </w:rPr>
              <w:t>马勇</w:t>
            </w:r>
          </w:p>
        </w:tc>
        <w:tc>
          <w:tcPr>
            <w:tcW w:w="850" w:type="dxa"/>
            <w:gridSpan w:val="2"/>
            <w:vAlign w:val="center"/>
          </w:tcPr>
          <w:p w14:paraId="66CBDAF4" w14:textId="77777777" w:rsidR="00690BBA" w:rsidRDefault="00690BBA" w:rsidP="00690BBA">
            <w:pPr>
              <w:jc w:val="center"/>
              <w:rPr>
                <w:sz w:val="24"/>
              </w:rPr>
            </w:pPr>
            <w:r>
              <w:rPr>
                <w:rFonts w:hint="eastAsia"/>
                <w:sz w:val="24"/>
              </w:rPr>
              <w:t>地址</w:t>
            </w:r>
          </w:p>
        </w:tc>
        <w:tc>
          <w:tcPr>
            <w:tcW w:w="4234" w:type="dxa"/>
            <w:gridSpan w:val="3"/>
            <w:vAlign w:val="center"/>
          </w:tcPr>
          <w:p w14:paraId="359BB8E1" w14:textId="35A0C221" w:rsidR="00690BBA" w:rsidRPr="006D78C1" w:rsidRDefault="00690BBA" w:rsidP="00690BBA">
            <w:pPr>
              <w:jc w:val="center"/>
              <w:rPr>
                <w:sz w:val="24"/>
                <w:szCs w:val="24"/>
                <w:lang w:val="en-US"/>
              </w:rPr>
            </w:pPr>
            <w:r>
              <w:rPr>
                <w:rFonts w:hint="eastAsia"/>
                <w:sz w:val="24"/>
              </w:rPr>
              <w:t>广东省珠海市香洲区唐家湾中山大学珠海校区海琴3号楼B</w:t>
            </w:r>
            <w:r>
              <w:rPr>
                <w:sz w:val="24"/>
              </w:rPr>
              <w:t>330</w:t>
            </w:r>
          </w:p>
        </w:tc>
      </w:tr>
      <w:tr w:rsidR="00690BBA" w14:paraId="5EC8BACC" w14:textId="77777777" w:rsidTr="00716538">
        <w:trPr>
          <w:trHeight w:val="548"/>
          <w:jc w:val="center"/>
        </w:trPr>
        <w:tc>
          <w:tcPr>
            <w:tcW w:w="1980" w:type="dxa"/>
            <w:vAlign w:val="center"/>
          </w:tcPr>
          <w:p w14:paraId="388CFD03" w14:textId="77777777" w:rsidR="00690BBA" w:rsidRDefault="00690BBA" w:rsidP="00690BBA">
            <w:pPr>
              <w:jc w:val="center"/>
              <w:rPr>
                <w:sz w:val="24"/>
              </w:rPr>
            </w:pPr>
            <w:r>
              <w:rPr>
                <w:rFonts w:hint="eastAsia"/>
                <w:sz w:val="24"/>
              </w:rPr>
              <w:t>电话</w:t>
            </w:r>
          </w:p>
        </w:tc>
        <w:tc>
          <w:tcPr>
            <w:tcW w:w="2171" w:type="dxa"/>
            <w:vAlign w:val="center"/>
          </w:tcPr>
          <w:p w14:paraId="13D31EDB" w14:textId="596CBDE2" w:rsidR="00690BBA" w:rsidRDefault="00690BBA" w:rsidP="00690BBA">
            <w:pPr>
              <w:jc w:val="center"/>
              <w:rPr>
                <w:sz w:val="24"/>
                <w:szCs w:val="24"/>
              </w:rPr>
            </w:pPr>
            <w:r>
              <w:rPr>
                <w:rFonts w:hint="eastAsia"/>
                <w:sz w:val="24"/>
              </w:rPr>
              <w:t>13684623478</w:t>
            </w:r>
          </w:p>
        </w:tc>
        <w:tc>
          <w:tcPr>
            <w:tcW w:w="850" w:type="dxa"/>
            <w:gridSpan w:val="2"/>
            <w:vAlign w:val="center"/>
          </w:tcPr>
          <w:p w14:paraId="255364F8" w14:textId="77777777" w:rsidR="00690BBA" w:rsidRDefault="00690BBA" w:rsidP="00690BBA">
            <w:pPr>
              <w:jc w:val="center"/>
              <w:rPr>
                <w:sz w:val="24"/>
              </w:rPr>
            </w:pPr>
            <w:r>
              <w:rPr>
                <w:rFonts w:hint="eastAsia"/>
                <w:sz w:val="24"/>
              </w:rPr>
              <w:t>邮箱</w:t>
            </w:r>
          </w:p>
        </w:tc>
        <w:tc>
          <w:tcPr>
            <w:tcW w:w="4234" w:type="dxa"/>
            <w:gridSpan w:val="3"/>
            <w:vAlign w:val="center"/>
          </w:tcPr>
          <w:p w14:paraId="0B55346C" w14:textId="73444719" w:rsidR="00690BBA" w:rsidRPr="006D78C1" w:rsidRDefault="00690BBA" w:rsidP="00690BBA">
            <w:pPr>
              <w:jc w:val="center"/>
              <w:rPr>
                <w:sz w:val="24"/>
                <w:szCs w:val="24"/>
                <w:lang w:val="en-US"/>
              </w:rPr>
            </w:pPr>
            <w:r>
              <w:rPr>
                <w:sz w:val="24"/>
              </w:rPr>
              <w:t>mayon</w:t>
            </w:r>
            <w:r>
              <w:rPr>
                <w:rFonts w:hint="eastAsia"/>
                <w:sz w:val="24"/>
              </w:rPr>
              <w:t>g</w:t>
            </w:r>
            <w:r>
              <w:rPr>
                <w:sz w:val="24"/>
              </w:rPr>
              <w:t>3@mail.sysu.edu.cn</w:t>
            </w:r>
          </w:p>
        </w:tc>
      </w:tr>
      <w:tr w:rsidR="00690BBA" w14:paraId="5D5A055F" w14:textId="77777777" w:rsidTr="00716538">
        <w:trPr>
          <w:trHeight w:val="657"/>
          <w:jc w:val="center"/>
        </w:trPr>
        <w:tc>
          <w:tcPr>
            <w:tcW w:w="1980" w:type="dxa"/>
            <w:vAlign w:val="center"/>
          </w:tcPr>
          <w:p w14:paraId="55B2FA5A" w14:textId="77777777" w:rsidR="00690BBA" w:rsidRDefault="00690BBA" w:rsidP="00690BBA">
            <w:pPr>
              <w:jc w:val="center"/>
              <w:rPr>
                <w:sz w:val="24"/>
              </w:rPr>
            </w:pPr>
            <w:bookmarkStart w:id="1" w:name="_Hlk191043494"/>
            <w:r>
              <w:rPr>
                <w:rFonts w:hint="eastAsia"/>
                <w:sz w:val="24"/>
              </w:rPr>
              <w:t>技术与市场</w:t>
            </w:r>
          </w:p>
          <w:p w14:paraId="4E3B2B28" w14:textId="77777777" w:rsidR="00690BBA" w:rsidRDefault="00690BBA" w:rsidP="00690BBA">
            <w:pPr>
              <w:jc w:val="center"/>
              <w:rPr>
                <w:sz w:val="24"/>
              </w:rPr>
            </w:pPr>
            <w:r>
              <w:rPr>
                <w:rFonts w:hint="eastAsia"/>
                <w:sz w:val="24"/>
              </w:rPr>
              <w:t>发展背景</w:t>
            </w:r>
          </w:p>
        </w:tc>
        <w:tc>
          <w:tcPr>
            <w:tcW w:w="7255" w:type="dxa"/>
            <w:gridSpan w:val="6"/>
          </w:tcPr>
          <w:p w14:paraId="37202F94" w14:textId="77777777" w:rsidR="00690BBA" w:rsidRDefault="00690BBA" w:rsidP="00690BBA">
            <w:pPr>
              <w:ind w:firstLineChars="200" w:firstLine="480"/>
              <w:rPr>
                <w:sz w:val="24"/>
              </w:rPr>
            </w:pPr>
          </w:p>
          <w:p w14:paraId="10A64DBA" w14:textId="2EA77A97" w:rsidR="002028AA" w:rsidRPr="002028AA" w:rsidRDefault="002028AA" w:rsidP="002028AA">
            <w:pPr>
              <w:ind w:firstLineChars="200" w:firstLine="480"/>
              <w:rPr>
                <w:sz w:val="24"/>
              </w:rPr>
            </w:pPr>
            <w:r w:rsidRPr="002028AA">
              <w:rPr>
                <w:rFonts w:hint="eastAsia"/>
                <w:sz w:val="24"/>
              </w:rPr>
              <w:t>风流联合发电装置是一种集成海上风能与潮流能的新型复合能源系统，通过共享浮式基础、外输电缆和系泊系统，有效降低海洋可再生能源开发成本，提高能量利用率，实现高效获能、海岛供电等功能，具有广阔应用前景。</w:t>
            </w:r>
          </w:p>
          <w:p w14:paraId="4B57168A" w14:textId="3A962F75" w:rsidR="002028AA" w:rsidRPr="002028AA" w:rsidRDefault="002028AA" w:rsidP="002028AA">
            <w:pPr>
              <w:ind w:firstLineChars="200" w:firstLine="480"/>
              <w:rPr>
                <w:sz w:val="24"/>
              </w:rPr>
            </w:pPr>
            <w:r w:rsidRPr="002028AA">
              <w:rPr>
                <w:rFonts w:hint="eastAsia"/>
                <w:sz w:val="24"/>
              </w:rPr>
              <w:t>近年来，海上风电技术在深远海浮式平台、轻量化结构设计和高可靠性电力输送系统等方面取得突破，为风能应用提供了有力支持。同时，潮流能因其可预测性强、运行稳定等特点，成为海洋能源开发的新兴方向。风流联合发电装置将这两种互补能源有机结合，通过共用关键设施，降低建设和运维成本，减少对海洋空间和生态环境的占用，实现“资源集约化、结构一体化、功能协同化”的技术目标，为海洋多能耦合技术树立新标杆。</w:t>
            </w:r>
          </w:p>
          <w:p w14:paraId="69AF1EB4" w14:textId="4D89CD4F" w:rsidR="00A91D02" w:rsidRPr="00A91D02" w:rsidRDefault="002028AA" w:rsidP="002028AA">
            <w:pPr>
              <w:ind w:firstLineChars="200" w:firstLine="480"/>
              <w:rPr>
                <w:sz w:val="24"/>
              </w:rPr>
            </w:pPr>
            <w:r w:rsidRPr="002028AA">
              <w:rPr>
                <w:rFonts w:hint="eastAsia"/>
                <w:sz w:val="24"/>
              </w:rPr>
              <w:t>从市场背景看，全球各国制定了清洁能源发展战略和海上能源开发规划，海岛、远海油气平台、海洋牧场和离岸军事基地等区域对独立、可持续能源供应需求迫切。传统柴油发电方式成本高、污染大、维护困难，难以满足现代需求。风流联合发电装置具备就地开发、绿色低碳、稳定供能的优势，能为这些区域提供可靠能源保障。随着全球海上风电和潮流</w:t>
            </w:r>
            <w:proofErr w:type="gramStart"/>
            <w:r w:rsidRPr="002028AA">
              <w:rPr>
                <w:rFonts w:hint="eastAsia"/>
                <w:sz w:val="24"/>
              </w:rPr>
              <w:t>能市场</w:t>
            </w:r>
            <w:proofErr w:type="gramEnd"/>
            <w:r w:rsidRPr="002028AA">
              <w:rPr>
                <w:rFonts w:hint="eastAsia"/>
                <w:sz w:val="24"/>
              </w:rPr>
              <w:t>规模扩大，设备制造、施工安装和运维服务等产业链日趋成熟，为风流联合发电装置的商业化推广和规模化应用提供了坚实市场基础。</w:t>
            </w:r>
          </w:p>
          <w:p w14:paraId="6E0BFF9C" w14:textId="19EE02C8" w:rsidR="00690BBA" w:rsidRPr="00D85BD5" w:rsidRDefault="00690BBA" w:rsidP="00A91D02">
            <w:pPr>
              <w:ind w:firstLineChars="200" w:firstLine="480"/>
              <w:rPr>
                <w:sz w:val="24"/>
              </w:rPr>
            </w:pPr>
          </w:p>
        </w:tc>
      </w:tr>
      <w:bookmarkEnd w:id="1"/>
      <w:tr w:rsidR="00690BBA" w14:paraId="28B430B7" w14:textId="77777777" w:rsidTr="00716538">
        <w:trPr>
          <w:trHeight w:val="673"/>
          <w:jc w:val="center"/>
        </w:trPr>
        <w:tc>
          <w:tcPr>
            <w:tcW w:w="1980" w:type="dxa"/>
            <w:vAlign w:val="center"/>
          </w:tcPr>
          <w:p w14:paraId="618CF789" w14:textId="77777777" w:rsidR="00690BBA" w:rsidRDefault="00690BBA" w:rsidP="00690BBA">
            <w:pPr>
              <w:jc w:val="center"/>
              <w:rPr>
                <w:sz w:val="24"/>
              </w:rPr>
            </w:pPr>
            <w:r>
              <w:rPr>
                <w:rFonts w:hint="eastAsia"/>
                <w:sz w:val="24"/>
              </w:rPr>
              <w:lastRenderedPageBreak/>
              <w:t>标准必要性</w:t>
            </w:r>
            <w:proofErr w:type="gramStart"/>
            <w:r>
              <w:rPr>
                <w:rFonts w:hint="eastAsia"/>
                <w:sz w:val="24"/>
              </w:rPr>
              <w:t>和</w:t>
            </w:r>
            <w:proofErr w:type="gramEnd"/>
          </w:p>
          <w:p w14:paraId="78011D6E" w14:textId="77777777" w:rsidR="00690BBA" w:rsidRDefault="00690BBA" w:rsidP="00690BBA">
            <w:pPr>
              <w:jc w:val="center"/>
              <w:rPr>
                <w:sz w:val="24"/>
              </w:rPr>
            </w:pPr>
            <w:r>
              <w:rPr>
                <w:rFonts w:hint="eastAsia"/>
                <w:sz w:val="24"/>
              </w:rPr>
              <w:t>可行性</w:t>
            </w:r>
          </w:p>
        </w:tc>
        <w:tc>
          <w:tcPr>
            <w:tcW w:w="7255" w:type="dxa"/>
            <w:gridSpan w:val="6"/>
          </w:tcPr>
          <w:p w14:paraId="46698800" w14:textId="77777777" w:rsidR="002028AA" w:rsidRDefault="002028AA" w:rsidP="00F9770F">
            <w:pPr>
              <w:ind w:firstLineChars="200" w:firstLine="480"/>
              <w:rPr>
                <w:sz w:val="24"/>
              </w:rPr>
            </w:pPr>
          </w:p>
          <w:p w14:paraId="3DE9509F" w14:textId="4B1A2E28" w:rsidR="00F9770F" w:rsidRPr="00F9770F" w:rsidRDefault="00F9770F" w:rsidP="00F9770F">
            <w:pPr>
              <w:ind w:firstLineChars="200" w:firstLine="480"/>
              <w:rPr>
                <w:sz w:val="24"/>
              </w:rPr>
            </w:pPr>
            <w:r w:rsidRPr="00F9770F">
              <w:rPr>
                <w:rFonts w:hint="eastAsia"/>
                <w:sz w:val="24"/>
              </w:rPr>
              <w:t>风流联合发电装置是一种结合海上风能和潮流能的多能互补系统，其结构复杂，工作环境涉及多源流体和多自由度耦合动态响应，对设计与运行安全性要求高。通过水池中的缩尺物理模型试验，可以模拟海洋风、流等复杂工况，获取平台的六自由度运动响应、结构载荷分布、系泊系统动力响应及风机与水轮机的动态行为。这些数据对优化设计、验证数值模拟、评估工程可行性和提升系统性能至关重要。</w:t>
            </w:r>
          </w:p>
          <w:p w14:paraId="3AC6C984" w14:textId="77777777" w:rsidR="00F9770F" w:rsidRPr="00F9770F" w:rsidRDefault="00F9770F" w:rsidP="00F9770F">
            <w:pPr>
              <w:ind w:firstLineChars="200" w:firstLine="480"/>
              <w:rPr>
                <w:rFonts w:hint="eastAsia"/>
                <w:sz w:val="24"/>
              </w:rPr>
            </w:pPr>
            <w:r w:rsidRPr="00F9770F">
              <w:rPr>
                <w:rFonts w:hint="eastAsia"/>
                <w:sz w:val="24"/>
              </w:rPr>
              <w:t>目前，国内对风流联合发电装置的模型试验研究尚不成熟，缺乏系统化的试验技术方法和标准化操作流程。现有国家及行业标准中无专门适用于此类装置模型试验的技术规范，导致试验设计不统一、数据处理不规范、成果适用性低，限制了技术进步和工程应用。</w:t>
            </w:r>
          </w:p>
          <w:p w14:paraId="2B7BE168" w14:textId="77777777" w:rsidR="00F9770F" w:rsidRPr="00F9770F" w:rsidRDefault="00F9770F" w:rsidP="00F9770F">
            <w:pPr>
              <w:ind w:firstLineChars="200" w:firstLine="480"/>
              <w:rPr>
                <w:rFonts w:hint="eastAsia"/>
                <w:sz w:val="24"/>
              </w:rPr>
            </w:pPr>
            <w:r w:rsidRPr="00F9770F">
              <w:rPr>
                <w:rFonts w:hint="eastAsia"/>
                <w:sz w:val="24"/>
              </w:rPr>
              <w:t>因此，制定《风流联合发电装置模型试验技术要求》标准具有紧迫的现实意义。该标准将为水池试验提供统一的技术规范，明确试验目标、工况设置、量测参数、数据处理与评估方法，确保试验的科学性、可重复性和结果的工程适用性。同时，该标准将填补国内多能互补海洋能源装置模型试验技术标准的空白，为海洋可再生能源领域提供技术支撑和政策参考。</w:t>
            </w:r>
          </w:p>
          <w:p w14:paraId="3451BB77" w14:textId="2103D319" w:rsidR="00690BBA" w:rsidRDefault="00F9770F" w:rsidP="00F9770F">
            <w:pPr>
              <w:ind w:firstLineChars="200" w:firstLine="480"/>
              <w:rPr>
                <w:sz w:val="24"/>
              </w:rPr>
            </w:pPr>
            <w:r w:rsidRPr="00F9770F">
              <w:rPr>
                <w:rFonts w:hint="eastAsia"/>
                <w:sz w:val="24"/>
              </w:rPr>
              <w:t>随着国家海洋强国战略和“双碳”目标的实施，我国已具备完善的试验水池设施和模型试验研究能力，拥有水动力试验、风机气动测试和多场耦合试验能力的研究机构和高校，为标准的制定和实施提供了技术基础和人才保障，具备较强的可行性。</w:t>
            </w:r>
          </w:p>
          <w:p w14:paraId="145F57B3" w14:textId="4B39A97D" w:rsidR="00690BBA" w:rsidRPr="009F7FAB" w:rsidRDefault="00690BBA" w:rsidP="00F9770F">
            <w:pPr>
              <w:ind w:firstLineChars="200" w:firstLine="480"/>
              <w:rPr>
                <w:sz w:val="24"/>
              </w:rPr>
            </w:pPr>
          </w:p>
        </w:tc>
      </w:tr>
      <w:tr w:rsidR="00690BBA" w14:paraId="1F0957EC" w14:textId="77777777" w:rsidTr="00716538">
        <w:trPr>
          <w:trHeight w:val="702"/>
          <w:jc w:val="center"/>
        </w:trPr>
        <w:tc>
          <w:tcPr>
            <w:tcW w:w="1980" w:type="dxa"/>
            <w:vAlign w:val="center"/>
          </w:tcPr>
          <w:p w14:paraId="23BDA949" w14:textId="77777777" w:rsidR="00690BBA" w:rsidRDefault="00690BBA" w:rsidP="00690BBA">
            <w:pPr>
              <w:jc w:val="center"/>
              <w:rPr>
                <w:rFonts w:ascii="宋体" w:hAnsi="宋体"/>
                <w:sz w:val="24"/>
              </w:rPr>
            </w:pPr>
            <w:r>
              <w:rPr>
                <w:rFonts w:ascii="宋体" w:hAnsi="宋体" w:hint="eastAsia"/>
                <w:sz w:val="24"/>
              </w:rPr>
              <w:t>国内外情况</w:t>
            </w:r>
          </w:p>
          <w:p w14:paraId="3E140FF7" w14:textId="77777777" w:rsidR="00690BBA" w:rsidRDefault="00690BBA" w:rsidP="00690BBA">
            <w:pPr>
              <w:jc w:val="center"/>
              <w:rPr>
                <w:sz w:val="24"/>
              </w:rPr>
            </w:pPr>
            <w:r>
              <w:rPr>
                <w:rFonts w:ascii="宋体" w:hAnsi="宋体" w:hint="eastAsia"/>
                <w:sz w:val="24"/>
              </w:rPr>
              <w:t>简要说明</w:t>
            </w:r>
          </w:p>
        </w:tc>
        <w:tc>
          <w:tcPr>
            <w:tcW w:w="7255" w:type="dxa"/>
            <w:gridSpan w:val="6"/>
          </w:tcPr>
          <w:p w14:paraId="2DA583C7" w14:textId="77777777" w:rsidR="00690BBA" w:rsidRDefault="00690BBA" w:rsidP="00690BBA">
            <w:pPr>
              <w:ind w:firstLineChars="200" w:firstLine="480"/>
              <w:rPr>
                <w:rFonts w:cs="仿宋"/>
                <w:sz w:val="24"/>
                <w:szCs w:val="24"/>
              </w:rPr>
            </w:pPr>
          </w:p>
          <w:p w14:paraId="2FEA257E" w14:textId="77777777" w:rsidR="002654E9" w:rsidRPr="002654E9" w:rsidRDefault="002654E9" w:rsidP="002654E9">
            <w:pPr>
              <w:ind w:firstLineChars="200" w:firstLine="480"/>
              <w:rPr>
                <w:rFonts w:cs="仿宋"/>
                <w:sz w:val="24"/>
                <w:szCs w:val="24"/>
              </w:rPr>
            </w:pPr>
            <w:r w:rsidRPr="002654E9">
              <w:rPr>
                <w:rFonts w:cs="仿宋" w:hint="eastAsia"/>
                <w:sz w:val="24"/>
                <w:szCs w:val="24"/>
              </w:rPr>
              <w:t>目前，针对风流联合发电装置模型试验的相关标准在国内外尚属空白。在国内，虽已发布《CB/T 3471-2016 风、浪、流联合作用下浮式系统模型试验规程》，该标准主要适用于半潜式平台、立柱式平台（Spar）及其他浮式系统在多种海洋环境载荷作用下的运动性能试验，对浮式平台的基础水动力响应测试提供了一定的技术指导。然而，该标准并未针对集成风能与潮流能转换装置的复杂结构和能量耦合特性进行规范，难以满足风流联合发电系统模型试验中涉及的多能转换装置、耦合响应、能量采集效率等关键技术指标的测试需求。</w:t>
            </w:r>
          </w:p>
          <w:p w14:paraId="1DB6AE08" w14:textId="77777777" w:rsidR="00690BBA" w:rsidRDefault="002654E9" w:rsidP="00762F4D">
            <w:pPr>
              <w:ind w:firstLineChars="200" w:firstLine="480"/>
              <w:rPr>
                <w:rFonts w:cs="仿宋"/>
                <w:sz w:val="24"/>
                <w:szCs w:val="24"/>
              </w:rPr>
            </w:pPr>
            <w:r w:rsidRPr="002654E9">
              <w:rPr>
                <w:rFonts w:cs="仿宋" w:hint="eastAsia"/>
                <w:sz w:val="24"/>
                <w:szCs w:val="24"/>
              </w:rPr>
              <w:t>在国际方面，目前亦未见专门针对风流联合发电装置的试验标准。国际拖曳水池会议（ITTC）发布了一系列与海洋可再生能源装置模型试验相关的推荐性技术文件，如《7.5-02-07-03.1 Floating Offshore Platform Experiments》《7.5-02-07-03.8 Model Tests for Offshore Wind Turbines》《7.5-02-07-03.8 Model Tests for Current Turbines》等。这些文件分别对浮式平台、海上风电装置、水轮机装置的模型试验方法、数据采集和结果分析等进行了详细说明，在一定程度上为风、流、浪等海洋环境要素耦合条件下的试验设计提供了参考依据。然而，这些标准仍是分别针对单一能量转换装置的测试规范，对于风流联合发电装置中复杂的多能协同发电系统缺乏系统性的技术规范和统一的</w:t>
            </w:r>
            <w:bookmarkStart w:id="2" w:name="_GoBack"/>
            <w:bookmarkEnd w:id="2"/>
            <w:r w:rsidRPr="002654E9">
              <w:rPr>
                <w:rFonts w:cs="仿宋" w:hint="eastAsia"/>
                <w:sz w:val="24"/>
                <w:szCs w:val="24"/>
              </w:rPr>
              <w:t>试验方法。</w:t>
            </w:r>
          </w:p>
          <w:p w14:paraId="22B54449" w14:textId="51329CD0" w:rsidR="00762F4D" w:rsidRPr="002654E9" w:rsidRDefault="00762F4D" w:rsidP="00762F4D">
            <w:pPr>
              <w:ind w:firstLineChars="200" w:firstLine="480"/>
              <w:rPr>
                <w:rFonts w:cs="仿宋" w:hint="eastAsia"/>
                <w:sz w:val="24"/>
                <w:szCs w:val="24"/>
              </w:rPr>
            </w:pPr>
          </w:p>
        </w:tc>
      </w:tr>
      <w:tr w:rsidR="00690BBA" w14:paraId="1A1BE784" w14:textId="77777777" w:rsidTr="00716538">
        <w:trPr>
          <w:trHeight w:val="581"/>
          <w:jc w:val="center"/>
        </w:trPr>
        <w:tc>
          <w:tcPr>
            <w:tcW w:w="1980" w:type="dxa"/>
            <w:vAlign w:val="center"/>
          </w:tcPr>
          <w:p w14:paraId="447EC370" w14:textId="77777777" w:rsidR="00690BBA" w:rsidRDefault="00690BBA" w:rsidP="00690BBA">
            <w:pPr>
              <w:jc w:val="center"/>
              <w:rPr>
                <w:sz w:val="24"/>
              </w:rPr>
            </w:pPr>
            <w:r>
              <w:rPr>
                <w:rFonts w:hint="eastAsia"/>
                <w:sz w:val="24"/>
              </w:rPr>
              <w:lastRenderedPageBreak/>
              <w:t>标准适用范围</w:t>
            </w:r>
          </w:p>
          <w:p w14:paraId="4E1C7D33" w14:textId="77777777" w:rsidR="00690BBA" w:rsidRDefault="00690BBA" w:rsidP="00690BBA">
            <w:pPr>
              <w:jc w:val="center"/>
              <w:rPr>
                <w:sz w:val="24"/>
              </w:rPr>
            </w:pPr>
            <w:r>
              <w:rPr>
                <w:rFonts w:hint="eastAsia"/>
                <w:sz w:val="24"/>
              </w:rPr>
              <w:t>和主要技术内容</w:t>
            </w:r>
          </w:p>
        </w:tc>
        <w:tc>
          <w:tcPr>
            <w:tcW w:w="7255" w:type="dxa"/>
            <w:gridSpan w:val="6"/>
          </w:tcPr>
          <w:p w14:paraId="6F31A128" w14:textId="77777777" w:rsidR="00690BBA" w:rsidRDefault="00690BBA" w:rsidP="00690BBA">
            <w:pPr>
              <w:ind w:firstLineChars="200" w:firstLine="480"/>
              <w:jc w:val="left"/>
              <w:rPr>
                <w:rFonts w:ascii="宋体" w:hAnsi="宋体"/>
                <w:sz w:val="24"/>
                <w:szCs w:val="24"/>
              </w:rPr>
            </w:pPr>
          </w:p>
          <w:p w14:paraId="07D2A729" w14:textId="7D102392" w:rsidR="00690BBA" w:rsidRPr="00690BBA" w:rsidRDefault="00690BBA" w:rsidP="00690BBA">
            <w:pPr>
              <w:ind w:firstLineChars="200" w:firstLine="480"/>
              <w:jc w:val="left"/>
              <w:rPr>
                <w:rFonts w:ascii="宋体" w:hAnsi="宋体"/>
                <w:sz w:val="24"/>
                <w:szCs w:val="24"/>
              </w:rPr>
            </w:pPr>
            <w:r w:rsidRPr="00690BBA">
              <w:rPr>
                <w:rFonts w:ascii="宋体" w:hAnsi="宋体" w:hint="eastAsia"/>
                <w:sz w:val="24"/>
                <w:szCs w:val="24"/>
              </w:rPr>
              <w:t>本文件规定了风流联合发电装置模型试验的相似准则、试验目的、试验大纲、试验类别、试验模型系统设计、环境参数模拟、试验仪器、试验前准备、试验流程、试验结果分析及评定等。</w:t>
            </w:r>
          </w:p>
          <w:p w14:paraId="502DD45C" w14:textId="5F76C6E6" w:rsidR="00690BBA" w:rsidRDefault="00690BBA" w:rsidP="00690BBA">
            <w:pPr>
              <w:ind w:firstLineChars="200" w:firstLine="480"/>
              <w:jc w:val="left"/>
              <w:rPr>
                <w:rFonts w:ascii="宋体" w:hAnsi="宋体"/>
                <w:sz w:val="24"/>
                <w:szCs w:val="24"/>
              </w:rPr>
            </w:pPr>
            <w:r w:rsidRPr="00690BBA">
              <w:rPr>
                <w:rFonts w:ascii="宋体" w:hAnsi="宋体" w:hint="eastAsia"/>
                <w:sz w:val="24"/>
                <w:szCs w:val="24"/>
              </w:rPr>
              <w:t>本文件适用于漂浮式风流联合发电装置在系泊及非系泊状态下风、浪、</w:t>
            </w:r>
            <w:proofErr w:type="gramStart"/>
            <w:r w:rsidRPr="00690BBA">
              <w:rPr>
                <w:rFonts w:ascii="宋体" w:hAnsi="宋体" w:hint="eastAsia"/>
                <w:sz w:val="24"/>
                <w:szCs w:val="24"/>
              </w:rPr>
              <w:t>流联合</w:t>
            </w:r>
            <w:proofErr w:type="gramEnd"/>
            <w:r w:rsidRPr="00690BBA">
              <w:rPr>
                <w:rFonts w:ascii="宋体" w:hAnsi="宋体" w:hint="eastAsia"/>
                <w:sz w:val="24"/>
                <w:szCs w:val="24"/>
              </w:rPr>
              <w:t>作用时的水池模型试验研究</w:t>
            </w:r>
            <w:r w:rsidR="0070372C">
              <w:rPr>
                <w:rFonts w:ascii="宋体" w:hAnsi="宋体" w:hint="eastAsia"/>
                <w:sz w:val="24"/>
                <w:szCs w:val="24"/>
              </w:rPr>
              <w:t>。</w:t>
            </w:r>
          </w:p>
          <w:p w14:paraId="35FBDB61" w14:textId="5E0064F4" w:rsidR="00690BBA" w:rsidRPr="00AD08FC" w:rsidRDefault="00690BBA" w:rsidP="00690BBA">
            <w:pPr>
              <w:ind w:firstLineChars="200" w:firstLine="480"/>
              <w:jc w:val="left"/>
              <w:rPr>
                <w:rFonts w:ascii="宋体" w:hAnsi="宋体"/>
                <w:sz w:val="24"/>
                <w:szCs w:val="24"/>
              </w:rPr>
            </w:pPr>
          </w:p>
        </w:tc>
      </w:tr>
      <w:tr w:rsidR="00690BBA" w14:paraId="534C6966" w14:textId="77777777" w:rsidTr="00716538">
        <w:trPr>
          <w:trHeight w:val="510"/>
          <w:jc w:val="center"/>
        </w:trPr>
        <w:tc>
          <w:tcPr>
            <w:tcW w:w="1980" w:type="dxa"/>
            <w:vAlign w:val="center"/>
          </w:tcPr>
          <w:p w14:paraId="3B8D6D2C" w14:textId="77777777" w:rsidR="00690BBA" w:rsidRDefault="00690BBA" w:rsidP="00690BBA">
            <w:pPr>
              <w:widowControl/>
              <w:jc w:val="center"/>
              <w:rPr>
                <w:rFonts w:ascii="宋体" w:hAnsi="宋体"/>
                <w:sz w:val="24"/>
              </w:rPr>
            </w:pPr>
            <w:r>
              <w:rPr>
                <w:rFonts w:ascii="宋体" w:hAnsi="宋体" w:hint="eastAsia"/>
                <w:sz w:val="24"/>
              </w:rPr>
              <w:t>工作进度安排</w:t>
            </w:r>
          </w:p>
        </w:tc>
        <w:tc>
          <w:tcPr>
            <w:tcW w:w="7255" w:type="dxa"/>
            <w:gridSpan w:val="6"/>
          </w:tcPr>
          <w:p w14:paraId="242A77A9" w14:textId="50E63F78" w:rsidR="002654E9" w:rsidRPr="002654E9" w:rsidRDefault="002654E9" w:rsidP="002654E9">
            <w:pPr>
              <w:rPr>
                <w:sz w:val="24"/>
                <w:szCs w:val="24"/>
              </w:rPr>
            </w:pPr>
          </w:p>
          <w:p w14:paraId="0FE49C74" w14:textId="77777777" w:rsidR="00E914BE" w:rsidRPr="00E914BE" w:rsidRDefault="00E914BE" w:rsidP="00E914BE">
            <w:pPr>
              <w:ind w:firstLineChars="200" w:firstLine="480"/>
              <w:rPr>
                <w:rFonts w:hint="eastAsia"/>
                <w:sz w:val="24"/>
                <w:szCs w:val="24"/>
              </w:rPr>
            </w:pPr>
            <w:r w:rsidRPr="00E914BE">
              <w:rPr>
                <w:rFonts w:hint="eastAsia"/>
                <w:sz w:val="24"/>
                <w:szCs w:val="24"/>
              </w:rPr>
              <w:t>草案提交：2025年3月</w:t>
            </w:r>
          </w:p>
          <w:p w14:paraId="5052CAE8" w14:textId="77777777" w:rsidR="00E914BE" w:rsidRPr="00E914BE" w:rsidRDefault="00E914BE" w:rsidP="00E914BE">
            <w:pPr>
              <w:ind w:firstLineChars="200" w:firstLine="480"/>
              <w:rPr>
                <w:rFonts w:hint="eastAsia"/>
                <w:sz w:val="24"/>
                <w:szCs w:val="24"/>
              </w:rPr>
            </w:pPr>
            <w:r w:rsidRPr="00E914BE">
              <w:rPr>
                <w:rFonts w:hint="eastAsia"/>
                <w:sz w:val="24"/>
                <w:szCs w:val="24"/>
              </w:rPr>
              <w:t>预期立项：2025年4月</w:t>
            </w:r>
          </w:p>
          <w:p w14:paraId="253F4CD5" w14:textId="77777777" w:rsidR="00E914BE" w:rsidRDefault="00E914BE" w:rsidP="00E914BE">
            <w:pPr>
              <w:ind w:firstLineChars="200" w:firstLine="480"/>
              <w:rPr>
                <w:sz w:val="24"/>
                <w:szCs w:val="24"/>
              </w:rPr>
            </w:pPr>
            <w:r w:rsidRPr="00E914BE">
              <w:rPr>
                <w:rFonts w:hint="eastAsia"/>
                <w:sz w:val="24"/>
                <w:szCs w:val="24"/>
              </w:rPr>
              <w:t>预期发布：2025年12月</w:t>
            </w:r>
          </w:p>
          <w:p w14:paraId="3BA20FFE" w14:textId="1D12AC55" w:rsidR="00690BBA" w:rsidRPr="002654E9" w:rsidRDefault="00690BBA" w:rsidP="002654E9">
            <w:pPr>
              <w:ind w:firstLineChars="200" w:firstLine="480"/>
              <w:rPr>
                <w:sz w:val="24"/>
                <w:szCs w:val="24"/>
              </w:rPr>
            </w:pPr>
          </w:p>
        </w:tc>
      </w:tr>
      <w:tr w:rsidR="00690BBA" w14:paraId="044CF6E5" w14:textId="77777777" w:rsidTr="00716538">
        <w:trPr>
          <w:trHeight w:val="834"/>
          <w:jc w:val="center"/>
        </w:trPr>
        <w:tc>
          <w:tcPr>
            <w:tcW w:w="1980" w:type="dxa"/>
            <w:vAlign w:val="center"/>
          </w:tcPr>
          <w:p w14:paraId="35745E00" w14:textId="77777777" w:rsidR="00690BBA" w:rsidRDefault="00690BBA" w:rsidP="00690BBA">
            <w:pPr>
              <w:widowControl/>
              <w:jc w:val="center"/>
              <w:rPr>
                <w:rFonts w:ascii="宋体" w:hAnsi="宋体"/>
                <w:sz w:val="24"/>
              </w:rPr>
            </w:pPr>
            <w:r>
              <w:rPr>
                <w:rFonts w:ascii="宋体" w:hAnsi="宋体" w:hint="eastAsia"/>
                <w:sz w:val="24"/>
              </w:rPr>
              <w:t>标准预期实施</w:t>
            </w:r>
          </w:p>
          <w:p w14:paraId="4C46E7B6" w14:textId="77777777" w:rsidR="00690BBA" w:rsidRDefault="00690BBA" w:rsidP="00690BBA">
            <w:pPr>
              <w:widowControl/>
              <w:jc w:val="center"/>
              <w:rPr>
                <w:rFonts w:ascii="宋体" w:hAnsi="宋体"/>
                <w:sz w:val="24"/>
              </w:rPr>
            </w:pPr>
            <w:r>
              <w:rPr>
                <w:rFonts w:ascii="宋体" w:hAnsi="宋体" w:hint="eastAsia"/>
                <w:sz w:val="24"/>
              </w:rPr>
              <w:t>应用方案</w:t>
            </w:r>
          </w:p>
        </w:tc>
        <w:tc>
          <w:tcPr>
            <w:tcW w:w="7255" w:type="dxa"/>
            <w:gridSpan w:val="6"/>
          </w:tcPr>
          <w:p w14:paraId="19BD2B6F" w14:textId="7C34F993" w:rsidR="002654E9" w:rsidRPr="002654E9" w:rsidRDefault="002654E9" w:rsidP="002654E9">
            <w:pPr>
              <w:ind w:firstLineChars="200" w:firstLine="480"/>
              <w:jc w:val="left"/>
              <w:rPr>
                <w:rFonts w:ascii="宋体" w:hAnsi="宋体"/>
                <w:sz w:val="24"/>
                <w:szCs w:val="24"/>
              </w:rPr>
            </w:pPr>
          </w:p>
          <w:p w14:paraId="4C97E99E" w14:textId="77777777" w:rsidR="003922A2" w:rsidRDefault="009D2DE9" w:rsidP="002654E9">
            <w:pPr>
              <w:ind w:firstLineChars="200" w:firstLine="480"/>
              <w:jc w:val="left"/>
              <w:rPr>
                <w:rFonts w:ascii="宋体" w:hAnsi="宋体"/>
                <w:sz w:val="24"/>
                <w:szCs w:val="24"/>
              </w:rPr>
            </w:pPr>
            <w:r w:rsidRPr="009D2DE9">
              <w:rPr>
                <w:rFonts w:ascii="宋体" w:hAnsi="宋体" w:hint="eastAsia"/>
                <w:sz w:val="24"/>
                <w:szCs w:val="24"/>
              </w:rPr>
              <w:t>为有效推广标准应用，将采取多路径推进实施。首先，依托国家级与省部级海洋工程实验平台、风能和水能试验基地，开展标准宣贯与试点应用，优先在承担风流联合发电试验任务的科研机构中推广。其次，推动标准在重大科技</w:t>
            </w:r>
            <w:proofErr w:type="gramStart"/>
            <w:r w:rsidRPr="009D2DE9">
              <w:rPr>
                <w:rFonts w:ascii="宋体" w:hAnsi="宋体" w:hint="eastAsia"/>
                <w:sz w:val="24"/>
                <w:szCs w:val="24"/>
              </w:rPr>
              <w:t>专项与</w:t>
            </w:r>
            <w:proofErr w:type="gramEnd"/>
            <w:r w:rsidRPr="009D2DE9">
              <w:rPr>
                <w:rFonts w:ascii="宋体" w:hAnsi="宋体" w:hint="eastAsia"/>
                <w:sz w:val="24"/>
                <w:szCs w:val="24"/>
              </w:rPr>
              <w:t>示范工程中应用，通过实际项目检验标准的适用性与可操作性。第三，鼓励装备制造企业将标准应用于产品开发、测试与质量控制，通过标准化试验流程指导设备设计与技术优化。第四，建立产学研协同推广机制，联合高校、科研院所和行业协会，将标准内容融入教学与培训，促进人才培养与技术传播。最后，积极参与国际标准化交流，与ITTC等国际标准体系对标研究，力争将本标准推向区域性或国际技术规范，提升我国在海洋新能源领域的技术话语权与影响力。</w:t>
            </w:r>
          </w:p>
          <w:p w14:paraId="5734166B" w14:textId="379E3D06" w:rsidR="009D2DE9" w:rsidRPr="008028D0" w:rsidRDefault="009D2DE9" w:rsidP="002654E9">
            <w:pPr>
              <w:ind w:firstLineChars="200" w:firstLine="480"/>
              <w:jc w:val="left"/>
              <w:rPr>
                <w:rFonts w:ascii="宋体" w:hAnsi="宋体" w:hint="eastAsia"/>
                <w:sz w:val="24"/>
                <w:szCs w:val="24"/>
              </w:rPr>
            </w:pPr>
          </w:p>
        </w:tc>
      </w:tr>
      <w:tr w:rsidR="00690BBA" w14:paraId="097A8B2D" w14:textId="77777777" w:rsidTr="00716538">
        <w:trPr>
          <w:trHeight w:val="422"/>
          <w:jc w:val="center"/>
        </w:trPr>
        <w:tc>
          <w:tcPr>
            <w:tcW w:w="1980" w:type="dxa"/>
            <w:vAlign w:val="center"/>
          </w:tcPr>
          <w:p w14:paraId="17A85183" w14:textId="77777777" w:rsidR="00690BBA" w:rsidRDefault="00690BBA" w:rsidP="00690BBA">
            <w:pPr>
              <w:widowControl/>
              <w:jc w:val="center"/>
              <w:rPr>
                <w:rFonts w:ascii="宋体" w:hAnsi="宋体"/>
                <w:sz w:val="24"/>
              </w:rPr>
            </w:pPr>
            <w:r>
              <w:rPr>
                <w:rFonts w:ascii="宋体" w:hAnsi="宋体" w:hint="eastAsia"/>
                <w:sz w:val="24"/>
              </w:rPr>
              <w:t>经费保障</w:t>
            </w:r>
          </w:p>
        </w:tc>
        <w:tc>
          <w:tcPr>
            <w:tcW w:w="7255" w:type="dxa"/>
            <w:gridSpan w:val="6"/>
          </w:tcPr>
          <w:p w14:paraId="004C2EA5" w14:textId="77777777" w:rsidR="00787C07" w:rsidRDefault="00787C07" w:rsidP="00E914BE">
            <w:pPr>
              <w:ind w:firstLineChars="200" w:firstLine="480"/>
              <w:rPr>
                <w:sz w:val="24"/>
              </w:rPr>
            </w:pPr>
          </w:p>
          <w:p w14:paraId="37E97669" w14:textId="12707BDB" w:rsidR="003922A2" w:rsidRDefault="00E914BE" w:rsidP="00E914BE">
            <w:pPr>
              <w:ind w:firstLineChars="200" w:firstLine="480"/>
              <w:rPr>
                <w:sz w:val="24"/>
              </w:rPr>
            </w:pPr>
            <w:r w:rsidRPr="00E914BE">
              <w:rPr>
                <w:rFonts w:hint="eastAsia"/>
                <w:sz w:val="24"/>
              </w:rPr>
              <w:t>提供团体标准编制所需的经费。（含学会标准管理费用、标准编制过程中因技术交流、调研等发生的差旅费、会议费、审查费、专家咨询费等）。</w:t>
            </w:r>
          </w:p>
          <w:p w14:paraId="2F4BC969" w14:textId="69AD497F" w:rsidR="00787C07" w:rsidRDefault="00787C07" w:rsidP="00E914BE">
            <w:pPr>
              <w:ind w:firstLineChars="200" w:firstLine="480"/>
              <w:rPr>
                <w:rFonts w:hint="eastAsia"/>
                <w:sz w:val="24"/>
              </w:rPr>
            </w:pPr>
          </w:p>
        </w:tc>
      </w:tr>
      <w:tr w:rsidR="00690BBA" w14:paraId="07D0F429" w14:textId="77777777" w:rsidTr="00716538">
        <w:trPr>
          <w:trHeight w:val="834"/>
          <w:jc w:val="center"/>
        </w:trPr>
        <w:tc>
          <w:tcPr>
            <w:tcW w:w="1980" w:type="dxa"/>
            <w:vAlign w:val="center"/>
          </w:tcPr>
          <w:p w14:paraId="3D3A0282" w14:textId="77777777" w:rsidR="00690BBA" w:rsidRDefault="00690BBA" w:rsidP="00690BBA">
            <w:pPr>
              <w:widowControl/>
              <w:jc w:val="center"/>
              <w:rPr>
                <w:rFonts w:ascii="宋体" w:hAnsi="宋体"/>
                <w:sz w:val="24"/>
              </w:rPr>
            </w:pPr>
            <w:r>
              <w:rPr>
                <w:rFonts w:ascii="宋体" w:hAnsi="宋体" w:hint="eastAsia"/>
                <w:sz w:val="24"/>
              </w:rPr>
              <w:t>技术基础及</w:t>
            </w:r>
          </w:p>
          <w:p w14:paraId="757F01CD" w14:textId="77777777" w:rsidR="00690BBA" w:rsidRDefault="00690BBA" w:rsidP="00690BBA">
            <w:pPr>
              <w:widowControl/>
              <w:jc w:val="center"/>
              <w:rPr>
                <w:rFonts w:ascii="宋体" w:hAnsi="宋体"/>
                <w:sz w:val="24"/>
              </w:rPr>
            </w:pPr>
            <w:r>
              <w:rPr>
                <w:rFonts w:ascii="宋体" w:hAnsi="宋体" w:hint="eastAsia"/>
                <w:sz w:val="24"/>
              </w:rPr>
              <w:t>研究团队</w:t>
            </w:r>
          </w:p>
        </w:tc>
        <w:tc>
          <w:tcPr>
            <w:tcW w:w="7255" w:type="dxa"/>
            <w:gridSpan w:val="6"/>
          </w:tcPr>
          <w:p w14:paraId="5D92BB3D" w14:textId="77777777" w:rsidR="00690BBA" w:rsidRDefault="00690BBA" w:rsidP="00690BBA">
            <w:pPr>
              <w:spacing w:line="276" w:lineRule="auto"/>
              <w:ind w:firstLineChars="200" w:firstLine="480"/>
              <w:rPr>
                <w:sz w:val="24"/>
              </w:rPr>
            </w:pPr>
          </w:p>
          <w:p w14:paraId="278D107B" w14:textId="30984B6F" w:rsidR="00690BBA" w:rsidRDefault="00690BBA" w:rsidP="00690BBA">
            <w:pPr>
              <w:spacing w:line="276" w:lineRule="auto"/>
              <w:ind w:firstLineChars="200" w:firstLine="480"/>
              <w:rPr>
                <w:sz w:val="24"/>
                <w:lang w:val="en-US"/>
              </w:rPr>
            </w:pPr>
            <w:r>
              <w:rPr>
                <w:rFonts w:hint="eastAsia"/>
                <w:sz w:val="24"/>
              </w:rPr>
              <w:t>标准实施的主要单位</w:t>
            </w:r>
            <w:r>
              <w:rPr>
                <w:rFonts w:hint="eastAsia"/>
                <w:sz w:val="24"/>
                <w:lang w:val="en-US"/>
              </w:rPr>
              <w:t>为</w:t>
            </w:r>
            <w:r w:rsidRPr="006F28FE">
              <w:rPr>
                <w:rFonts w:hint="eastAsia"/>
                <w:sz w:val="24"/>
                <w:lang w:val="en-US"/>
              </w:rPr>
              <w:t>中山大学、埃米南（上海）科技有限公司、国家海洋技术中心、招商局海洋装备研究院有限公司、中交四航工程研究院有限公司、中国电建集团华东勘测设计研究院有限公司、华南理工大学、哈尔滨工程大学、中船</w:t>
            </w:r>
            <w:proofErr w:type="gramStart"/>
            <w:r w:rsidRPr="006F28FE">
              <w:rPr>
                <w:rFonts w:hint="eastAsia"/>
                <w:sz w:val="24"/>
                <w:lang w:val="en-US"/>
              </w:rPr>
              <w:t>黄埔文</w:t>
            </w:r>
            <w:proofErr w:type="gramEnd"/>
            <w:r w:rsidRPr="006F28FE">
              <w:rPr>
                <w:rFonts w:hint="eastAsia"/>
                <w:sz w:val="24"/>
                <w:lang w:val="en-US"/>
              </w:rPr>
              <w:t>冲船舶有限公司、江苏科技大学、海斯比科技股份有限公司</w:t>
            </w:r>
            <w:r>
              <w:rPr>
                <w:rFonts w:hint="eastAsia"/>
                <w:sz w:val="24"/>
                <w:lang w:val="en-US"/>
              </w:rPr>
              <w:t>。</w:t>
            </w:r>
          </w:p>
          <w:p w14:paraId="43AA569A" w14:textId="6E8E9F56" w:rsidR="003922A2" w:rsidRPr="003922A2" w:rsidRDefault="00690BBA" w:rsidP="00690BBA">
            <w:pPr>
              <w:ind w:firstLineChars="200" w:firstLine="480"/>
              <w:rPr>
                <w:sz w:val="24"/>
                <w:lang w:val="en-US"/>
              </w:rPr>
            </w:pPr>
            <w:r>
              <w:rPr>
                <w:rFonts w:hint="eastAsia"/>
                <w:sz w:val="24"/>
                <w:lang w:val="en-US"/>
              </w:rPr>
              <w:t>中山大学牵头的“漂浮式潮流能转换装置关键技术研究及应用” 项目获得了2</w:t>
            </w:r>
            <w:r>
              <w:rPr>
                <w:sz w:val="24"/>
                <w:lang w:val="en-US"/>
              </w:rPr>
              <w:t>023</w:t>
            </w:r>
            <w:r>
              <w:rPr>
                <w:rFonts w:hint="eastAsia"/>
                <w:sz w:val="24"/>
                <w:lang w:val="en-US"/>
              </w:rPr>
              <w:t>年中国造船工程学会技术发明一等奖，项目整体技术达到了国际领先水平，特别是在模型试验技术方面具有较好的研究基础和优势。埃米南（上海）科技有限公司</w:t>
            </w:r>
            <w:r w:rsidR="00533DC0">
              <w:rPr>
                <w:rFonts w:hint="eastAsia"/>
                <w:sz w:val="24"/>
                <w:lang w:val="en-US"/>
              </w:rPr>
              <w:t>等</w:t>
            </w:r>
            <w:r>
              <w:rPr>
                <w:rFonts w:hint="eastAsia"/>
                <w:sz w:val="24"/>
                <w:lang w:val="en-US"/>
              </w:rPr>
              <w:t>其他起草单位也致力于海洋可再生能源利用及试验研究，是推动行业和领域发展的主要</w:t>
            </w:r>
            <w:r>
              <w:rPr>
                <w:rFonts w:hint="eastAsia"/>
                <w:sz w:val="24"/>
                <w:lang w:val="en-US"/>
              </w:rPr>
              <w:lastRenderedPageBreak/>
              <w:t>力量。</w:t>
            </w:r>
          </w:p>
          <w:p w14:paraId="54B03AEA" w14:textId="3A6119A4" w:rsidR="00690BBA" w:rsidRDefault="00690BBA" w:rsidP="00690BBA">
            <w:pPr>
              <w:ind w:firstLineChars="200" w:firstLine="480"/>
              <w:rPr>
                <w:sz w:val="24"/>
              </w:rPr>
            </w:pPr>
          </w:p>
        </w:tc>
      </w:tr>
      <w:tr w:rsidR="00690BBA" w14:paraId="27F37EA5" w14:textId="77777777" w:rsidTr="00716538">
        <w:trPr>
          <w:trHeight w:val="944"/>
          <w:jc w:val="center"/>
        </w:trPr>
        <w:tc>
          <w:tcPr>
            <w:tcW w:w="1980" w:type="dxa"/>
            <w:vAlign w:val="center"/>
          </w:tcPr>
          <w:p w14:paraId="76337181" w14:textId="77777777" w:rsidR="00690BBA" w:rsidRDefault="00690BBA" w:rsidP="00690BBA">
            <w:pPr>
              <w:jc w:val="center"/>
              <w:rPr>
                <w:rFonts w:ascii="宋体" w:hAnsi="宋体"/>
                <w:sz w:val="24"/>
              </w:rPr>
            </w:pPr>
            <w:r>
              <w:rPr>
                <w:rFonts w:ascii="宋体" w:hAnsi="宋体" w:hint="eastAsia"/>
                <w:sz w:val="24"/>
              </w:rPr>
              <w:lastRenderedPageBreak/>
              <w:t>申请立项单位</w:t>
            </w:r>
          </w:p>
          <w:p w14:paraId="2E964CF0" w14:textId="77777777" w:rsidR="00690BBA" w:rsidRDefault="00690BBA" w:rsidP="00690BBA">
            <w:pPr>
              <w:jc w:val="center"/>
              <w:rPr>
                <w:rFonts w:ascii="宋体" w:hAnsi="宋体"/>
                <w:sz w:val="24"/>
              </w:rPr>
            </w:pPr>
            <w:r>
              <w:rPr>
                <w:rFonts w:ascii="宋体" w:hAnsi="宋体" w:hint="eastAsia"/>
                <w:sz w:val="24"/>
              </w:rPr>
              <w:t>意见</w:t>
            </w:r>
          </w:p>
        </w:tc>
        <w:tc>
          <w:tcPr>
            <w:tcW w:w="7255" w:type="dxa"/>
            <w:gridSpan w:val="6"/>
            <w:vAlign w:val="bottom"/>
          </w:tcPr>
          <w:p w14:paraId="57125C64" w14:textId="77777777" w:rsidR="00690BBA" w:rsidRDefault="00690BBA" w:rsidP="00690BBA">
            <w:pPr>
              <w:wordWrap w:val="0"/>
              <w:jc w:val="right"/>
              <w:rPr>
                <w:sz w:val="24"/>
              </w:rPr>
            </w:pPr>
            <w:r>
              <w:rPr>
                <w:rFonts w:hint="eastAsia"/>
                <w:sz w:val="24"/>
              </w:rPr>
              <w:t xml:space="preserve">（盖章）                                          </w:t>
            </w:r>
          </w:p>
          <w:p w14:paraId="766F53EC" w14:textId="77777777" w:rsidR="00690BBA" w:rsidRDefault="00690BBA" w:rsidP="00690BBA">
            <w:pPr>
              <w:jc w:val="right"/>
              <w:rPr>
                <w:rFonts w:ascii="黑体" w:eastAsia="黑体" w:hAnsi="宋体"/>
                <w:color w:val="000000"/>
                <w:sz w:val="24"/>
              </w:rPr>
            </w:pPr>
            <w:r>
              <w:rPr>
                <w:rFonts w:hint="eastAsia"/>
                <w:sz w:val="24"/>
              </w:rPr>
              <w:t>年   月   日</w:t>
            </w:r>
          </w:p>
        </w:tc>
      </w:tr>
      <w:tr w:rsidR="00690BBA" w14:paraId="42B2A3AA" w14:textId="77777777" w:rsidTr="00716538">
        <w:trPr>
          <w:trHeight w:val="1890"/>
          <w:jc w:val="center"/>
        </w:trPr>
        <w:tc>
          <w:tcPr>
            <w:tcW w:w="1980" w:type="dxa"/>
            <w:vAlign w:val="center"/>
          </w:tcPr>
          <w:p w14:paraId="434E47CC" w14:textId="77777777" w:rsidR="00690BBA" w:rsidRDefault="00690BBA" w:rsidP="00690BBA">
            <w:pPr>
              <w:jc w:val="center"/>
              <w:rPr>
                <w:sz w:val="24"/>
              </w:rPr>
            </w:pPr>
            <w:r>
              <w:rPr>
                <w:rFonts w:hint="eastAsia"/>
                <w:sz w:val="24"/>
              </w:rPr>
              <w:t>标准化学术</w:t>
            </w:r>
          </w:p>
          <w:p w14:paraId="2D253E5E" w14:textId="77777777" w:rsidR="00690BBA" w:rsidRDefault="00690BBA" w:rsidP="00690BBA">
            <w:pPr>
              <w:jc w:val="center"/>
              <w:rPr>
                <w:sz w:val="24"/>
              </w:rPr>
            </w:pPr>
            <w:r>
              <w:rPr>
                <w:rFonts w:hint="eastAsia"/>
                <w:sz w:val="24"/>
              </w:rPr>
              <w:t>委员会意见</w:t>
            </w:r>
          </w:p>
        </w:tc>
        <w:tc>
          <w:tcPr>
            <w:tcW w:w="2596" w:type="dxa"/>
            <w:gridSpan w:val="2"/>
            <w:vAlign w:val="bottom"/>
          </w:tcPr>
          <w:p w14:paraId="08D66D26" w14:textId="77777777" w:rsidR="00690BBA" w:rsidRDefault="00690BBA" w:rsidP="00690BBA">
            <w:pPr>
              <w:wordWrap w:val="0"/>
              <w:jc w:val="right"/>
              <w:rPr>
                <w:sz w:val="24"/>
              </w:rPr>
            </w:pPr>
            <w:r>
              <w:rPr>
                <w:rFonts w:hint="eastAsia"/>
                <w:sz w:val="24"/>
              </w:rPr>
              <w:t xml:space="preserve">（签名、盖章）     </w:t>
            </w:r>
          </w:p>
          <w:p w14:paraId="25260BD8" w14:textId="77777777" w:rsidR="00690BBA" w:rsidRDefault="00690BBA" w:rsidP="00690BBA">
            <w:pPr>
              <w:jc w:val="right"/>
              <w:rPr>
                <w:sz w:val="24"/>
              </w:rPr>
            </w:pPr>
          </w:p>
          <w:p w14:paraId="3FA12A6C" w14:textId="77777777" w:rsidR="00690BBA" w:rsidRDefault="00690BBA" w:rsidP="00690BBA">
            <w:pPr>
              <w:jc w:val="right"/>
              <w:rPr>
                <w:sz w:val="24"/>
              </w:rPr>
            </w:pPr>
          </w:p>
          <w:p w14:paraId="24E5399E" w14:textId="77777777" w:rsidR="00690BBA" w:rsidRDefault="00690BBA" w:rsidP="00690BBA">
            <w:pPr>
              <w:jc w:val="right"/>
              <w:rPr>
                <w:sz w:val="24"/>
              </w:rPr>
            </w:pPr>
            <w:r>
              <w:rPr>
                <w:rFonts w:hint="eastAsia"/>
                <w:sz w:val="24"/>
              </w:rPr>
              <w:t>年   月   日</w:t>
            </w:r>
          </w:p>
        </w:tc>
        <w:tc>
          <w:tcPr>
            <w:tcW w:w="1985" w:type="dxa"/>
            <w:gridSpan w:val="3"/>
            <w:vAlign w:val="center"/>
          </w:tcPr>
          <w:p w14:paraId="08E027B6" w14:textId="77777777" w:rsidR="00690BBA" w:rsidRDefault="00690BBA" w:rsidP="00690BBA">
            <w:pPr>
              <w:jc w:val="center"/>
              <w:rPr>
                <w:sz w:val="24"/>
              </w:rPr>
            </w:pPr>
            <w:r>
              <w:rPr>
                <w:rFonts w:hint="eastAsia"/>
                <w:sz w:val="24"/>
              </w:rPr>
              <w:t>中国造船工程</w:t>
            </w:r>
          </w:p>
          <w:p w14:paraId="1A602545" w14:textId="77777777" w:rsidR="00690BBA" w:rsidRDefault="00690BBA" w:rsidP="00690BBA">
            <w:pPr>
              <w:jc w:val="center"/>
              <w:rPr>
                <w:sz w:val="24"/>
              </w:rPr>
            </w:pPr>
            <w:r>
              <w:rPr>
                <w:rFonts w:hint="eastAsia"/>
                <w:sz w:val="24"/>
              </w:rPr>
              <w:t>学会意见</w:t>
            </w:r>
          </w:p>
        </w:tc>
        <w:tc>
          <w:tcPr>
            <w:tcW w:w="2674" w:type="dxa"/>
            <w:vAlign w:val="bottom"/>
          </w:tcPr>
          <w:p w14:paraId="75828BB9" w14:textId="77777777" w:rsidR="00690BBA" w:rsidRDefault="00690BBA" w:rsidP="00690BBA">
            <w:pPr>
              <w:wordWrap w:val="0"/>
              <w:jc w:val="right"/>
              <w:rPr>
                <w:sz w:val="24"/>
              </w:rPr>
            </w:pPr>
            <w:r>
              <w:rPr>
                <w:rFonts w:hint="eastAsia"/>
                <w:sz w:val="24"/>
              </w:rPr>
              <w:t xml:space="preserve">（签名、盖章）             </w:t>
            </w:r>
          </w:p>
          <w:p w14:paraId="2C37393C" w14:textId="77777777" w:rsidR="00690BBA" w:rsidRDefault="00690BBA" w:rsidP="00690BBA">
            <w:pPr>
              <w:jc w:val="right"/>
              <w:rPr>
                <w:sz w:val="24"/>
              </w:rPr>
            </w:pPr>
          </w:p>
          <w:p w14:paraId="5D9B848B" w14:textId="77777777" w:rsidR="00690BBA" w:rsidRDefault="00690BBA" w:rsidP="00690BBA">
            <w:pPr>
              <w:jc w:val="right"/>
              <w:rPr>
                <w:sz w:val="24"/>
              </w:rPr>
            </w:pPr>
          </w:p>
          <w:p w14:paraId="3238A8DB" w14:textId="77777777" w:rsidR="00690BBA" w:rsidRDefault="00690BBA" w:rsidP="00690BBA">
            <w:pPr>
              <w:jc w:val="right"/>
              <w:rPr>
                <w:sz w:val="24"/>
              </w:rPr>
            </w:pPr>
            <w:r>
              <w:rPr>
                <w:rFonts w:hint="eastAsia"/>
                <w:sz w:val="24"/>
              </w:rPr>
              <w:t>年   月   日</w:t>
            </w:r>
          </w:p>
        </w:tc>
      </w:tr>
    </w:tbl>
    <w:p w14:paraId="5A3D7CE2" w14:textId="77777777" w:rsidR="005E7D40" w:rsidRPr="00C3423D" w:rsidRDefault="00C3423D" w:rsidP="00C3423D">
      <w:pPr>
        <w:jc w:val="left"/>
        <w:rPr>
          <w:rFonts w:ascii="仿宋_GB2312" w:eastAsia="仿宋_GB2312"/>
          <w:sz w:val="24"/>
        </w:rPr>
      </w:pPr>
      <w:r>
        <w:rPr>
          <w:rFonts w:hAnsiTheme="minorEastAsia" w:hint="eastAsia"/>
        </w:rPr>
        <w:t>注：如本表空间不够，可另附页。</w:t>
      </w:r>
    </w:p>
    <w:sectPr w:rsidR="005E7D40" w:rsidRPr="00C3423D" w:rsidSect="001604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A220F5" w14:textId="77777777" w:rsidR="00CD1EAB" w:rsidRDefault="00CD1EAB" w:rsidP="00C3423D">
      <w:r>
        <w:separator/>
      </w:r>
    </w:p>
  </w:endnote>
  <w:endnote w:type="continuationSeparator" w:id="0">
    <w:p w14:paraId="2450888E" w14:textId="77777777" w:rsidR="00CD1EAB" w:rsidRDefault="00CD1EAB" w:rsidP="00C34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A1E51" w14:textId="77777777" w:rsidR="00CD1EAB" w:rsidRDefault="00CD1EAB" w:rsidP="00C3423D">
      <w:r>
        <w:separator/>
      </w:r>
    </w:p>
  </w:footnote>
  <w:footnote w:type="continuationSeparator" w:id="0">
    <w:p w14:paraId="77B22A92" w14:textId="77777777" w:rsidR="00CD1EAB" w:rsidRDefault="00CD1EAB" w:rsidP="00C342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EA1789"/>
    <w:multiLevelType w:val="singleLevel"/>
    <w:tmpl w:val="42EA178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E3NGM4NmY1MTk1MDk2NTNiMjc3M2IzNDk5N2FhNDYifQ=="/>
  </w:docVars>
  <w:rsids>
    <w:rsidRoot w:val="00EB3B78"/>
    <w:rsid w:val="0004456B"/>
    <w:rsid w:val="000872E2"/>
    <w:rsid w:val="000B47B7"/>
    <w:rsid w:val="000E0A82"/>
    <w:rsid w:val="000E4F1C"/>
    <w:rsid w:val="001510F7"/>
    <w:rsid w:val="001604E9"/>
    <w:rsid w:val="002028AA"/>
    <w:rsid w:val="002150A6"/>
    <w:rsid w:val="002654E9"/>
    <w:rsid w:val="00266D84"/>
    <w:rsid w:val="00291B08"/>
    <w:rsid w:val="002D0460"/>
    <w:rsid w:val="00317406"/>
    <w:rsid w:val="003338B7"/>
    <w:rsid w:val="00374DE3"/>
    <w:rsid w:val="003922A2"/>
    <w:rsid w:val="003A41F2"/>
    <w:rsid w:val="003B0188"/>
    <w:rsid w:val="003D01BD"/>
    <w:rsid w:val="00410B81"/>
    <w:rsid w:val="004236BA"/>
    <w:rsid w:val="004A7E9D"/>
    <w:rsid w:val="004B3B5D"/>
    <w:rsid w:val="004F3A59"/>
    <w:rsid w:val="005140BC"/>
    <w:rsid w:val="00533DC0"/>
    <w:rsid w:val="00574F1B"/>
    <w:rsid w:val="005B184D"/>
    <w:rsid w:val="005C048B"/>
    <w:rsid w:val="005E7D40"/>
    <w:rsid w:val="00606BB2"/>
    <w:rsid w:val="00663142"/>
    <w:rsid w:val="00690BBA"/>
    <w:rsid w:val="006C2DF6"/>
    <w:rsid w:val="006D78C1"/>
    <w:rsid w:val="0070372C"/>
    <w:rsid w:val="0074393A"/>
    <w:rsid w:val="00746B2D"/>
    <w:rsid w:val="00747D55"/>
    <w:rsid w:val="00762F4D"/>
    <w:rsid w:val="00787C07"/>
    <w:rsid w:val="007E50D3"/>
    <w:rsid w:val="007F7771"/>
    <w:rsid w:val="008028D0"/>
    <w:rsid w:val="008208B5"/>
    <w:rsid w:val="00833C1E"/>
    <w:rsid w:val="00837D5D"/>
    <w:rsid w:val="00842AF4"/>
    <w:rsid w:val="008A5503"/>
    <w:rsid w:val="008D5F7E"/>
    <w:rsid w:val="008F3CC4"/>
    <w:rsid w:val="00915110"/>
    <w:rsid w:val="0092416A"/>
    <w:rsid w:val="009717BC"/>
    <w:rsid w:val="00984679"/>
    <w:rsid w:val="009902E1"/>
    <w:rsid w:val="009A193C"/>
    <w:rsid w:val="009D2DE9"/>
    <w:rsid w:val="009F79EA"/>
    <w:rsid w:val="009F7FAB"/>
    <w:rsid w:val="00A00822"/>
    <w:rsid w:val="00A12F2F"/>
    <w:rsid w:val="00A26EB0"/>
    <w:rsid w:val="00A81891"/>
    <w:rsid w:val="00A91D02"/>
    <w:rsid w:val="00AD08FC"/>
    <w:rsid w:val="00AF0174"/>
    <w:rsid w:val="00B179E9"/>
    <w:rsid w:val="00B439F8"/>
    <w:rsid w:val="00B7668C"/>
    <w:rsid w:val="00B826ED"/>
    <w:rsid w:val="00B90F41"/>
    <w:rsid w:val="00BE68A1"/>
    <w:rsid w:val="00BF19B3"/>
    <w:rsid w:val="00BF7644"/>
    <w:rsid w:val="00C3423D"/>
    <w:rsid w:val="00C709D4"/>
    <w:rsid w:val="00CC23B7"/>
    <w:rsid w:val="00CC5922"/>
    <w:rsid w:val="00CD1EAB"/>
    <w:rsid w:val="00D70F54"/>
    <w:rsid w:val="00D757B5"/>
    <w:rsid w:val="00D85BD5"/>
    <w:rsid w:val="00D91F44"/>
    <w:rsid w:val="00DF354F"/>
    <w:rsid w:val="00E32311"/>
    <w:rsid w:val="00E34FCB"/>
    <w:rsid w:val="00E73810"/>
    <w:rsid w:val="00E914BE"/>
    <w:rsid w:val="00EB3B78"/>
    <w:rsid w:val="00F816C7"/>
    <w:rsid w:val="00F9770F"/>
    <w:rsid w:val="00FB1487"/>
    <w:rsid w:val="00FC10D8"/>
    <w:rsid w:val="01D655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7FAAFD"/>
  <w14:defaultImageDpi w14:val="32767"/>
  <w15:docId w15:val="{392ACAD8-D681-4A89-8504-3FD2C0768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04E9"/>
    <w:pPr>
      <w:widowControl w:val="0"/>
      <w:jc w:val="both"/>
    </w:pPr>
    <w:rPr>
      <w:rFonts w:asciiTheme="minorEastAsia" w:cs="Times New Roman"/>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4E9"/>
    <w:pPr>
      <w:ind w:firstLineChars="200" w:firstLine="420"/>
    </w:pPr>
  </w:style>
  <w:style w:type="paragraph" w:styleId="a4">
    <w:name w:val="header"/>
    <w:basedOn w:val="a"/>
    <w:link w:val="a5"/>
    <w:uiPriority w:val="99"/>
    <w:unhideWhenUsed/>
    <w:rsid w:val="00C3423D"/>
    <w:pPr>
      <w:tabs>
        <w:tab w:val="center" w:pos="4153"/>
        <w:tab w:val="right" w:pos="8306"/>
      </w:tabs>
      <w:snapToGrid w:val="0"/>
      <w:jc w:val="center"/>
    </w:pPr>
    <w:rPr>
      <w:sz w:val="18"/>
      <w:szCs w:val="18"/>
    </w:rPr>
  </w:style>
  <w:style w:type="character" w:customStyle="1" w:styleId="a5">
    <w:name w:val="页眉 字符"/>
    <w:basedOn w:val="a0"/>
    <w:link w:val="a4"/>
    <w:uiPriority w:val="99"/>
    <w:rsid w:val="00C3423D"/>
    <w:rPr>
      <w:rFonts w:asciiTheme="minorEastAsia" w:cs="Times New Roman"/>
      <w:snapToGrid w:val="0"/>
      <w:sz w:val="18"/>
      <w:szCs w:val="18"/>
      <w:lang w:val="en-GB"/>
    </w:rPr>
  </w:style>
  <w:style w:type="paragraph" w:styleId="a6">
    <w:name w:val="footer"/>
    <w:basedOn w:val="a"/>
    <w:link w:val="a7"/>
    <w:uiPriority w:val="99"/>
    <w:unhideWhenUsed/>
    <w:rsid w:val="00C3423D"/>
    <w:pPr>
      <w:tabs>
        <w:tab w:val="center" w:pos="4153"/>
        <w:tab w:val="right" w:pos="8306"/>
      </w:tabs>
      <w:snapToGrid w:val="0"/>
      <w:jc w:val="left"/>
    </w:pPr>
    <w:rPr>
      <w:sz w:val="18"/>
      <w:szCs w:val="18"/>
    </w:rPr>
  </w:style>
  <w:style w:type="character" w:customStyle="1" w:styleId="a7">
    <w:name w:val="页脚 字符"/>
    <w:basedOn w:val="a0"/>
    <w:link w:val="a6"/>
    <w:uiPriority w:val="99"/>
    <w:rsid w:val="00C3423D"/>
    <w:rPr>
      <w:rFonts w:asciiTheme="minorEastAsia" w:cs="Times New Roman"/>
      <w:snapToGrid w:val="0"/>
      <w:sz w:val="18"/>
      <w:szCs w:val="18"/>
      <w:lang w:val="en-GB"/>
    </w:rPr>
  </w:style>
  <w:style w:type="character" w:styleId="a8">
    <w:name w:val="annotation reference"/>
    <w:basedOn w:val="a0"/>
    <w:uiPriority w:val="99"/>
    <w:semiHidden/>
    <w:unhideWhenUsed/>
    <w:rsid w:val="00CC23B7"/>
    <w:rPr>
      <w:sz w:val="21"/>
      <w:szCs w:val="21"/>
    </w:rPr>
  </w:style>
  <w:style w:type="paragraph" w:styleId="a9">
    <w:name w:val="annotation text"/>
    <w:basedOn w:val="a"/>
    <w:link w:val="aa"/>
    <w:uiPriority w:val="99"/>
    <w:semiHidden/>
    <w:unhideWhenUsed/>
    <w:rsid w:val="00CC23B7"/>
    <w:pPr>
      <w:jc w:val="left"/>
    </w:pPr>
  </w:style>
  <w:style w:type="character" w:customStyle="1" w:styleId="aa">
    <w:name w:val="批注文字 字符"/>
    <w:basedOn w:val="a0"/>
    <w:link w:val="a9"/>
    <w:uiPriority w:val="99"/>
    <w:semiHidden/>
    <w:rsid w:val="00CC23B7"/>
    <w:rPr>
      <w:rFonts w:asciiTheme="minorEastAsia" w:cs="Times New Roman"/>
      <w:snapToGrid w:val="0"/>
      <w:sz w:val="21"/>
      <w:szCs w:val="21"/>
      <w:lang w:val="en-GB"/>
    </w:rPr>
  </w:style>
  <w:style w:type="paragraph" w:styleId="ab">
    <w:name w:val="annotation subject"/>
    <w:basedOn w:val="a9"/>
    <w:next w:val="a9"/>
    <w:link w:val="ac"/>
    <w:uiPriority w:val="99"/>
    <w:semiHidden/>
    <w:unhideWhenUsed/>
    <w:rsid w:val="00CC23B7"/>
    <w:rPr>
      <w:b/>
      <w:bCs/>
    </w:rPr>
  </w:style>
  <w:style w:type="character" w:customStyle="1" w:styleId="ac">
    <w:name w:val="批注主题 字符"/>
    <w:basedOn w:val="aa"/>
    <w:link w:val="ab"/>
    <w:uiPriority w:val="99"/>
    <w:semiHidden/>
    <w:rsid w:val="00CC23B7"/>
    <w:rPr>
      <w:rFonts w:asciiTheme="minorEastAsia" w:cs="Times New Roman"/>
      <w:b/>
      <w:bCs/>
      <w:snapToGrid w:val="0"/>
      <w:sz w:val="21"/>
      <w:szCs w:val="21"/>
      <w:lang w:val="en-GB"/>
    </w:rPr>
  </w:style>
  <w:style w:type="paragraph" w:styleId="ad">
    <w:name w:val="Balloon Text"/>
    <w:basedOn w:val="a"/>
    <w:link w:val="ae"/>
    <w:uiPriority w:val="99"/>
    <w:semiHidden/>
    <w:unhideWhenUsed/>
    <w:rsid w:val="00CC23B7"/>
    <w:rPr>
      <w:sz w:val="18"/>
      <w:szCs w:val="18"/>
    </w:rPr>
  </w:style>
  <w:style w:type="character" w:customStyle="1" w:styleId="ae">
    <w:name w:val="批注框文本 字符"/>
    <w:basedOn w:val="a0"/>
    <w:link w:val="ad"/>
    <w:uiPriority w:val="99"/>
    <w:semiHidden/>
    <w:rsid w:val="00CC23B7"/>
    <w:rPr>
      <w:rFonts w:asciiTheme="minorEastAsia" w:cs="Times New Roman"/>
      <w:snapToGrid w:val="0"/>
      <w:sz w:val="18"/>
      <w:szCs w:val="18"/>
      <w:lang w:val="en-GB"/>
    </w:rPr>
  </w:style>
  <w:style w:type="paragraph" w:styleId="af">
    <w:name w:val="Revision"/>
    <w:hidden/>
    <w:uiPriority w:val="99"/>
    <w:semiHidden/>
    <w:rsid w:val="00833C1E"/>
    <w:rPr>
      <w:rFonts w:asciiTheme="minorEastAsia" w:cs="Times New Roman"/>
      <w:snapToGrid w:val="0"/>
      <w:sz w:val="21"/>
      <w:szCs w:val="21"/>
      <w:lang w:val="en-GB"/>
    </w:rPr>
  </w:style>
  <w:style w:type="character" w:customStyle="1" w:styleId="ql-font-timesnewroman">
    <w:name w:val="ql-font-timesnewroman"/>
    <w:basedOn w:val="a0"/>
    <w:rsid w:val="00A26E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6585798">
      <w:bodyDiv w:val="1"/>
      <w:marLeft w:val="0"/>
      <w:marRight w:val="0"/>
      <w:marTop w:val="0"/>
      <w:marBottom w:val="0"/>
      <w:divBdr>
        <w:top w:val="none" w:sz="0" w:space="0" w:color="auto"/>
        <w:left w:val="none" w:sz="0" w:space="0" w:color="auto"/>
        <w:bottom w:val="none" w:sz="0" w:space="0" w:color="auto"/>
        <w:right w:val="none" w:sz="0" w:space="0" w:color="auto"/>
      </w:divBdr>
      <w:divsChild>
        <w:div w:id="1462649780">
          <w:marLeft w:val="0"/>
          <w:marRight w:val="0"/>
          <w:marTop w:val="0"/>
          <w:marBottom w:val="0"/>
          <w:divBdr>
            <w:top w:val="none" w:sz="0" w:space="0" w:color="auto"/>
            <w:left w:val="none" w:sz="0" w:space="0" w:color="auto"/>
            <w:bottom w:val="none" w:sz="0" w:space="0" w:color="auto"/>
            <w:right w:val="none" w:sz="0" w:space="0" w:color="auto"/>
          </w:divBdr>
          <w:divsChild>
            <w:div w:id="773985817">
              <w:marLeft w:val="0"/>
              <w:marRight w:val="0"/>
              <w:marTop w:val="0"/>
              <w:marBottom w:val="0"/>
              <w:divBdr>
                <w:top w:val="none" w:sz="0" w:space="0" w:color="auto"/>
                <w:left w:val="none" w:sz="0" w:space="0" w:color="auto"/>
                <w:bottom w:val="none" w:sz="0" w:space="0" w:color="auto"/>
                <w:right w:val="none" w:sz="0" w:space="0" w:color="auto"/>
              </w:divBdr>
              <w:divsChild>
                <w:div w:id="1419058239">
                  <w:marLeft w:val="0"/>
                  <w:marRight w:val="0"/>
                  <w:marTop w:val="0"/>
                  <w:marBottom w:val="0"/>
                  <w:divBdr>
                    <w:top w:val="none" w:sz="0" w:space="0" w:color="auto"/>
                    <w:left w:val="none" w:sz="0" w:space="0" w:color="auto"/>
                    <w:bottom w:val="none" w:sz="0" w:space="0" w:color="auto"/>
                    <w:right w:val="none" w:sz="0" w:space="0" w:color="auto"/>
                  </w:divBdr>
                  <w:divsChild>
                    <w:div w:id="163475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3615">
      <w:bodyDiv w:val="1"/>
      <w:marLeft w:val="0"/>
      <w:marRight w:val="0"/>
      <w:marTop w:val="0"/>
      <w:marBottom w:val="0"/>
      <w:divBdr>
        <w:top w:val="none" w:sz="0" w:space="0" w:color="auto"/>
        <w:left w:val="none" w:sz="0" w:space="0" w:color="auto"/>
        <w:bottom w:val="none" w:sz="0" w:space="0" w:color="auto"/>
        <w:right w:val="none" w:sz="0" w:space="0" w:color="auto"/>
      </w:divBdr>
      <w:divsChild>
        <w:div w:id="906304283">
          <w:marLeft w:val="0"/>
          <w:marRight w:val="0"/>
          <w:marTop w:val="0"/>
          <w:marBottom w:val="0"/>
          <w:divBdr>
            <w:top w:val="none" w:sz="0" w:space="0" w:color="auto"/>
            <w:left w:val="none" w:sz="0" w:space="0" w:color="auto"/>
            <w:bottom w:val="none" w:sz="0" w:space="0" w:color="auto"/>
            <w:right w:val="none" w:sz="0" w:space="0" w:color="auto"/>
          </w:divBdr>
          <w:divsChild>
            <w:div w:id="1760756194">
              <w:marLeft w:val="0"/>
              <w:marRight w:val="0"/>
              <w:marTop w:val="0"/>
              <w:marBottom w:val="0"/>
              <w:divBdr>
                <w:top w:val="none" w:sz="0" w:space="0" w:color="auto"/>
                <w:left w:val="none" w:sz="0" w:space="0" w:color="auto"/>
                <w:bottom w:val="none" w:sz="0" w:space="0" w:color="auto"/>
                <w:right w:val="none" w:sz="0" w:space="0" w:color="auto"/>
              </w:divBdr>
              <w:divsChild>
                <w:div w:id="1102263139">
                  <w:marLeft w:val="0"/>
                  <w:marRight w:val="0"/>
                  <w:marTop w:val="0"/>
                  <w:marBottom w:val="0"/>
                  <w:divBdr>
                    <w:top w:val="none" w:sz="0" w:space="0" w:color="auto"/>
                    <w:left w:val="none" w:sz="0" w:space="0" w:color="auto"/>
                    <w:bottom w:val="none" w:sz="0" w:space="0" w:color="auto"/>
                    <w:right w:val="none" w:sz="0" w:space="0" w:color="auto"/>
                  </w:divBdr>
                  <w:divsChild>
                    <w:div w:id="181633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488</Words>
  <Characters>2784</Characters>
  <Application>Microsoft Office Word</Application>
  <DocSecurity>0</DocSecurity>
  <Lines>23</Lines>
  <Paragraphs>6</Paragraphs>
  <ScaleCrop>false</ScaleCrop>
  <Company>Microsoft</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biaoyan</cp:lastModifiedBy>
  <cp:revision>22</cp:revision>
  <dcterms:created xsi:type="dcterms:W3CDTF">2025-03-14T02:42:00Z</dcterms:created>
  <dcterms:modified xsi:type="dcterms:W3CDTF">2025-03-24T07:59:00Z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2052-11.1.0.11797</vt:lpwstr>
  </property>
  <property fmtid="{D5CDD505-2E9C-101B-9397-08002B2CF9AE}" pid="3" name="ICV">
    <vt:lpwstr>0A99FF815B694A5EA2DF4C6F1DFF22E9</vt:lpwstr>
  </property>
</Properties>
</file>