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E81532" w14:textId="77777777" w:rsidR="00823D44" w:rsidRDefault="00F947F7">
      <w:pPr>
        <w:spacing w:line="360" w:lineRule="auto"/>
        <w:jc w:val="left"/>
        <w:outlineLvl w:val="0"/>
        <w:rPr>
          <w:rFonts w:ascii="黑体" w:eastAsia="黑体" w:hAnsi="华文细黑"/>
          <w:sz w:val="24"/>
        </w:rPr>
      </w:pPr>
      <w:r>
        <w:rPr>
          <w:rFonts w:ascii="黑体" w:eastAsia="黑体" w:hAnsi="华文细黑" w:hint="eastAsia"/>
          <w:sz w:val="24"/>
        </w:rPr>
        <w:t>附件1</w:t>
      </w:r>
    </w:p>
    <w:p w14:paraId="2781D497" w14:textId="77777777" w:rsidR="00823D44" w:rsidRDefault="00F947F7">
      <w:pPr>
        <w:spacing w:beforeLines="50" w:before="156" w:line="360" w:lineRule="auto"/>
        <w:jc w:val="center"/>
        <w:rPr>
          <w:rFonts w:ascii="黑体" w:eastAsia="黑体"/>
          <w:sz w:val="28"/>
        </w:rPr>
      </w:pPr>
      <w:r>
        <w:rPr>
          <w:rFonts w:ascii="黑体" w:eastAsia="黑体" w:hint="eastAsia"/>
          <w:sz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171"/>
        <w:gridCol w:w="425"/>
        <w:gridCol w:w="425"/>
        <w:gridCol w:w="851"/>
        <w:gridCol w:w="709"/>
        <w:gridCol w:w="2674"/>
      </w:tblGrid>
      <w:tr w:rsidR="00823D44" w14:paraId="2B329E14" w14:textId="77777777">
        <w:trPr>
          <w:trHeight w:val="605"/>
          <w:jc w:val="center"/>
        </w:trPr>
        <w:tc>
          <w:tcPr>
            <w:tcW w:w="1980" w:type="dxa"/>
            <w:vAlign w:val="center"/>
          </w:tcPr>
          <w:p w14:paraId="3AC56BE3" w14:textId="77777777" w:rsidR="00823D44" w:rsidRDefault="00F947F7">
            <w:pPr>
              <w:rPr>
                <w:sz w:val="24"/>
              </w:rPr>
            </w:pPr>
            <w:r>
              <w:rPr>
                <w:rFonts w:hint="eastAsia"/>
                <w:sz w:val="24"/>
              </w:rPr>
              <w:t>项目名称（中文）</w:t>
            </w:r>
          </w:p>
        </w:tc>
        <w:tc>
          <w:tcPr>
            <w:tcW w:w="7255" w:type="dxa"/>
            <w:gridSpan w:val="6"/>
            <w:vAlign w:val="center"/>
          </w:tcPr>
          <w:p w14:paraId="42C8C4CC" w14:textId="04EE5283" w:rsidR="00823D44" w:rsidRDefault="00D1722E">
            <w:pPr>
              <w:jc w:val="center"/>
              <w:rPr>
                <w:sz w:val="24"/>
                <w:szCs w:val="24"/>
              </w:rPr>
            </w:pPr>
            <w:r w:rsidRPr="00D1722E">
              <w:rPr>
                <w:rFonts w:hint="eastAsia"/>
                <w:sz w:val="24"/>
                <w:szCs w:val="24"/>
              </w:rPr>
              <w:t>船舶总装建造数字化转型成熟度评估方法</w:t>
            </w:r>
          </w:p>
        </w:tc>
      </w:tr>
      <w:tr w:rsidR="00823D44" w14:paraId="21F55E47" w14:textId="77777777">
        <w:trPr>
          <w:trHeight w:val="605"/>
          <w:jc w:val="center"/>
        </w:trPr>
        <w:tc>
          <w:tcPr>
            <w:tcW w:w="1980" w:type="dxa"/>
            <w:vAlign w:val="center"/>
          </w:tcPr>
          <w:p w14:paraId="4FE7222F" w14:textId="77777777" w:rsidR="00823D44" w:rsidRDefault="00F947F7">
            <w:pPr>
              <w:rPr>
                <w:sz w:val="24"/>
              </w:rPr>
            </w:pPr>
            <w:r>
              <w:rPr>
                <w:rFonts w:hint="eastAsia"/>
                <w:sz w:val="24"/>
              </w:rPr>
              <w:t>项目名称（英文）</w:t>
            </w:r>
          </w:p>
        </w:tc>
        <w:tc>
          <w:tcPr>
            <w:tcW w:w="7255" w:type="dxa"/>
            <w:gridSpan w:val="6"/>
            <w:vAlign w:val="center"/>
          </w:tcPr>
          <w:p w14:paraId="71173266" w14:textId="77777777" w:rsidR="00823D44" w:rsidRDefault="00F947F7">
            <w:pPr>
              <w:jc w:val="center"/>
              <w:rPr>
                <w:sz w:val="24"/>
                <w:szCs w:val="24"/>
              </w:rPr>
            </w:pPr>
            <w:r>
              <w:rPr>
                <w:rFonts w:hint="eastAsia"/>
                <w:sz w:val="24"/>
                <w:szCs w:val="24"/>
              </w:rPr>
              <w:t>Evaluation Method for Digital Transformation of Ship Final Assembly Construction</w:t>
            </w:r>
          </w:p>
        </w:tc>
      </w:tr>
      <w:tr w:rsidR="00823D44" w14:paraId="7DDFCAAB" w14:textId="77777777">
        <w:trPr>
          <w:trHeight w:val="540"/>
          <w:jc w:val="center"/>
        </w:trPr>
        <w:tc>
          <w:tcPr>
            <w:tcW w:w="1980" w:type="dxa"/>
            <w:vAlign w:val="center"/>
          </w:tcPr>
          <w:p w14:paraId="5D2EA0EF" w14:textId="77777777" w:rsidR="00823D44" w:rsidRDefault="00F947F7">
            <w:pPr>
              <w:jc w:val="center"/>
              <w:rPr>
                <w:sz w:val="24"/>
              </w:rPr>
            </w:pPr>
            <w:r>
              <w:rPr>
                <w:rFonts w:hint="eastAsia"/>
                <w:sz w:val="24"/>
              </w:rPr>
              <w:t>制修订</w:t>
            </w:r>
          </w:p>
        </w:tc>
        <w:tc>
          <w:tcPr>
            <w:tcW w:w="2171" w:type="dxa"/>
            <w:vAlign w:val="center"/>
          </w:tcPr>
          <w:p w14:paraId="60E0D42D" w14:textId="77777777" w:rsidR="00823D44" w:rsidRDefault="00F947F7">
            <w:pPr>
              <w:jc w:val="center"/>
              <w:rPr>
                <w:sz w:val="24"/>
              </w:rPr>
            </w:pPr>
            <w:r>
              <w:rPr>
                <w:rFonts w:ascii="宋体" w:hAnsi="宋体" w:hint="eastAsia"/>
                <w:sz w:val="24"/>
                <w:szCs w:val="24"/>
              </w:rPr>
              <w:t>☑</w:t>
            </w:r>
            <w:r>
              <w:rPr>
                <w:rFonts w:hAnsiTheme="minorEastAsia" w:hint="eastAsia"/>
                <w:sz w:val="24"/>
              </w:rPr>
              <w:t>制定   □修订</w:t>
            </w:r>
          </w:p>
        </w:tc>
        <w:tc>
          <w:tcPr>
            <w:tcW w:w="1701" w:type="dxa"/>
            <w:gridSpan w:val="3"/>
            <w:vAlign w:val="center"/>
          </w:tcPr>
          <w:p w14:paraId="2C38BD02" w14:textId="77777777" w:rsidR="00823D44" w:rsidRDefault="00F947F7">
            <w:pPr>
              <w:jc w:val="center"/>
              <w:rPr>
                <w:sz w:val="24"/>
              </w:rPr>
            </w:pPr>
            <w:r>
              <w:rPr>
                <w:rFonts w:hint="eastAsia"/>
                <w:sz w:val="24"/>
              </w:rPr>
              <w:t>被修订标准号</w:t>
            </w:r>
          </w:p>
        </w:tc>
        <w:tc>
          <w:tcPr>
            <w:tcW w:w="3383" w:type="dxa"/>
            <w:gridSpan w:val="2"/>
            <w:vAlign w:val="center"/>
          </w:tcPr>
          <w:p w14:paraId="17B7B678" w14:textId="77777777" w:rsidR="00823D44" w:rsidRDefault="00823D44">
            <w:pPr>
              <w:rPr>
                <w:sz w:val="24"/>
              </w:rPr>
            </w:pPr>
          </w:p>
        </w:tc>
      </w:tr>
      <w:tr w:rsidR="00823D44" w14:paraId="36DD2C95" w14:textId="77777777">
        <w:trPr>
          <w:trHeight w:val="540"/>
          <w:jc w:val="center"/>
        </w:trPr>
        <w:tc>
          <w:tcPr>
            <w:tcW w:w="1980" w:type="dxa"/>
            <w:vAlign w:val="center"/>
          </w:tcPr>
          <w:p w14:paraId="0D6F015A" w14:textId="77777777" w:rsidR="00823D44" w:rsidRDefault="00F947F7">
            <w:pPr>
              <w:jc w:val="center"/>
              <w:rPr>
                <w:sz w:val="24"/>
              </w:rPr>
            </w:pPr>
            <w:r>
              <w:rPr>
                <w:rFonts w:hint="eastAsia"/>
                <w:sz w:val="24"/>
              </w:rPr>
              <w:t>被修订标准名称</w:t>
            </w:r>
          </w:p>
        </w:tc>
        <w:tc>
          <w:tcPr>
            <w:tcW w:w="2171" w:type="dxa"/>
            <w:vAlign w:val="center"/>
          </w:tcPr>
          <w:p w14:paraId="76939DA7" w14:textId="77777777" w:rsidR="00823D44" w:rsidRDefault="00823D44">
            <w:pPr>
              <w:jc w:val="center"/>
              <w:rPr>
                <w:rFonts w:hAnsiTheme="minorEastAsia"/>
                <w:sz w:val="24"/>
              </w:rPr>
            </w:pPr>
          </w:p>
        </w:tc>
        <w:tc>
          <w:tcPr>
            <w:tcW w:w="1701" w:type="dxa"/>
            <w:gridSpan w:val="3"/>
            <w:vAlign w:val="center"/>
          </w:tcPr>
          <w:p w14:paraId="18140635" w14:textId="77777777" w:rsidR="00823D44" w:rsidRDefault="00F947F7">
            <w:pPr>
              <w:jc w:val="center"/>
              <w:rPr>
                <w:sz w:val="24"/>
              </w:rPr>
            </w:pPr>
            <w:r>
              <w:rPr>
                <w:rFonts w:hint="eastAsia"/>
                <w:sz w:val="24"/>
              </w:rPr>
              <w:t>编制周期</w:t>
            </w:r>
          </w:p>
        </w:tc>
        <w:tc>
          <w:tcPr>
            <w:tcW w:w="3383" w:type="dxa"/>
            <w:gridSpan w:val="2"/>
            <w:vAlign w:val="center"/>
          </w:tcPr>
          <w:p w14:paraId="533EE084" w14:textId="77777777" w:rsidR="00823D44" w:rsidRDefault="00F947F7">
            <w:pPr>
              <w:rPr>
                <w:rFonts w:hAnsiTheme="minorEastAsia"/>
                <w:sz w:val="24"/>
              </w:rPr>
            </w:pPr>
            <w:r>
              <w:rPr>
                <w:rFonts w:hAnsiTheme="minorEastAsia" w:hint="eastAsia"/>
                <w:sz w:val="24"/>
              </w:rPr>
              <w:t xml:space="preserve">□12个月  </w:t>
            </w:r>
            <w:r>
              <w:rPr>
                <w:rFonts w:ascii="宋体" w:hAnsi="宋体" w:hint="eastAsia"/>
                <w:sz w:val="24"/>
                <w:szCs w:val="24"/>
              </w:rPr>
              <w:t>☑</w:t>
            </w:r>
            <w:r>
              <w:rPr>
                <w:rFonts w:hAnsiTheme="minorEastAsia" w:hint="eastAsia"/>
                <w:sz w:val="24"/>
              </w:rPr>
              <w:t xml:space="preserve">18个月   </w:t>
            </w:r>
          </w:p>
          <w:p w14:paraId="2E3809D0" w14:textId="77777777" w:rsidR="00823D44" w:rsidRDefault="00F947F7">
            <w:pPr>
              <w:rPr>
                <w:sz w:val="24"/>
              </w:rPr>
            </w:pPr>
            <w:r>
              <w:rPr>
                <w:rFonts w:hAnsiTheme="minorEastAsia" w:hint="eastAsia"/>
                <w:sz w:val="24"/>
              </w:rPr>
              <w:t>□其他</w:t>
            </w:r>
          </w:p>
        </w:tc>
      </w:tr>
      <w:tr w:rsidR="00823D44" w14:paraId="4E3EA8ED" w14:textId="77777777">
        <w:trPr>
          <w:trHeight w:val="548"/>
          <w:jc w:val="center"/>
        </w:trPr>
        <w:tc>
          <w:tcPr>
            <w:tcW w:w="1980" w:type="dxa"/>
            <w:vAlign w:val="center"/>
          </w:tcPr>
          <w:p w14:paraId="5E04168F" w14:textId="77777777" w:rsidR="00823D44" w:rsidRDefault="00F947F7">
            <w:pPr>
              <w:jc w:val="center"/>
              <w:rPr>
                <w:sz w:val="24"/>
              </w:rPr>
            </w:pPr>
            <w:r>
              <w:rPr>
                <w:rFonts w:hint="eastAsia"/>
                <w:sz w:val="24"/>
              </w:rPr>
              <w:t>起草单位</w:t>
            </w:r>
          </w:p>
          <w:p w14:paraId="5DE26242" w14:textId="77777777" w:rsidR="00823D44" w:rsidRDefault="00F947F7">
            <w:pPr>
              <w:jc w:val="center"/>
              <w:rPr>
                <w:sz w:val="24"/>
              </w:rPr>
            </w:pPr>
            <w:r>
              <w:rPr>
                <w:rFonts w:hint="eastAsia"/>
                <w:sz w:val="24"/>
              </w:rPr>
              <w:t>（不少于3家）</w:t>
            </w:r>
          </w:p>
        </w:tc>
        <w:tc>
          <w:tcPr>
            <w:tcW w:w="7255" w:type="dxa"/>
            <w:gridSpan w:val="6"/>
            <w:vAlign w:val="center"/>
          </w:tcPr>
          <w:p w14:paraId="50E076E9" w14:textId="3DD1F07E" w:rsidR="00823D44" w:rsidRDefault="00F947F7">
            <w:pPr>
              <w:jc w:val="center"/>
              <w:rPr>
                <w:sz w:val="24"/>
              </w:rPr>
            </w:pPr>
            <w:bookmarkStart w:id="0" w:name="_Hlk193697915"/>
            <w:r>
              <w:rPr>
                <w:rFonts w:hint="eastAsia"/>
                <w:sz w:val="24"/>
                <w:szCs w:val="24"/>
                <w:lang w:val="en-US"/>
              </w:rPr>
              <w:t>中国船舶集团有限公司第七一六研究所</w:t>
            </w:r>
            <w:r w:rsidR="00747841">
              <w:rPr>
                <w:rFonts w:hint="eastAsia"/>
                <w:sz w:val="24"/>
                <w:szCs w:val="24"/>
                <w:lang w:val="en-US"/>
              </w:rPr>
              <w:t>、</w:t>
            </w:r>
            <w:r>
              <w:rPr>
                <w:rFonts w:hint="eastAsia"/>
                <w:sz w:val="24"/>
                <w:szCs w:val="24"/>
                <w:lang w:val="en-US"/>
              </w:rPr>
              <w:t>中国船舶集团有限公司综合技术经济研究院、上海交通大学、上海外高桥造船有限公司、中远海运重工有限公司、江南造船厂、广船国际造船厂、沪东中华造船集团有限公司、招商局邮轮制造有限公司、江苏科技大学、中国矿业大学</w:t>
            </w:r>
            <w:bookmarkEnd w:id="0"/>
          </w:p>
        </w:tc>
      </w:tr>
      <w:tr w:rsidR="00823D44" w14:paraId="0B4DEBC2" w14:textId="77777777">
        <w:trPr>
          <w:trHeight w:val="548"/>
          <w:jc w:val="center"/>
        </w:trPr>
        <w:tc>
          <w:tcPr>
            <w:tcW w:w="1980" w:type="dxa"/>
            <w:vAlign w:val="center"/>
          </w:tcPr>
          <w:p w14:paraId="54E37599" w14:textId="77777777" w:rsidR="00823D44" w:rsidRDefault="00F947F7">
            <w:pPr>
              <w:jc w:val="center"/>
              <w:rPr>
                <w:sz w:val="24"/>
              </w:rPr>
            </w:pPr>
            <w:r>
              <w:rPr>
                <w:rFonts w:hint="eastAsia"/>
                <w:sz w:val="24"/>
              </w:rPr>
              <w:t>联系人</w:t>
            </w:r>
          </w:p>
        </w:tc>
        <w:tc>
          <w:tcPr>
            <w:tcW w:w="2171" w:type="dxa"/>
            <w:vAlign w:val="center"/>
          </w:tcPr>
          <w:p w14:paraId="35233ED5" w14:textId="77777777" w:rsidR="00823D44" w:rsidRDefault="00F947F7">
            <w:pPr>
              <w:jc w:val="center"/>
              <w:rPr>
                <w:sz w:val="24"/>
                <w:szCs w:val="24"/>
              </w:rPr>
            </w:pPr>
            <w:bookmarkStart w:id="1" w:name="_Hlk193697692"/>
            <w:r>
              <w:rPr>
                <w:rFonts w:hint="eastAsia"/>
                <w:sz w:val="24"/>
                <w:szCs w:val="24"/>
                <w:lang w:val="en-US"/>
              </w:rPr>
              <w:t>王松云</w:t>
            </w:r>
            <w:bookmarkEnd w:id="1"/>
          </w:p>
        </w:tc>
        <w:tc>
          <w:tcPr>
            <w:tcW w:w="850" w:type="dxa"/>
            <w:gridSpan w:val="2"/>
            <w:vAlign w:val="center"/>
          </w:tcPr>
          <w:p w14:paraId="242E3976" w14:textId="77777777" w:rsidR="00823D44" w:rsidRDefault="00F947F7">
            <w:pPr>
              <w:jc w:val="center"/>
              <w:rPr>
                <w:sz w:val="24"/>
              </w:rPr>
            </w:pPr>
            <w:r>
              <w:rPr>
                <w:rFonts w:hint="eastAsia"/>
                <w:sz w:val="24"/>
              </w:rPr>
              <w:t>地址</w:t>
            </w:r>
          </w:p>
        </w:tc>
        <w:tc>
          <w:tcPr>
            <w:tcW w:w="4234" w:type="dxa"/>
            <w:gridSpan w:val="3"/>
            <w:vAlign w:val="center"/>
          </w:tcPr>
          <w:p w14:paraId="1C5F33AB" w14:textId="77777777" w:rsidR="00823D44" w:rsidRDefault="00F947F7">
            <w:pPr>
              <w:jc w:val="center"/>
              <w:rPr>
                <w:sz w:val="24"/>
                <w:szCs w:val="24"/>
              </w:rPr>
            </w:pPr>
            <w:r>
              <w:rPr>
                <w:rFonts w:hint="eastAsia"/>
                <w:sz w:val="24"/>
                <w:szCs w:val="24"/>
              </w:rPr>
              <w:t>江苏省连云港市圣湖路18号</w:t>
            </w:r>
          </w:p>
        </w:tc>
      </w:tr>
      <w:tr w:rsidR="00823D44" w14:paraId="316F8A3A" w14:textId="77777777">
        <w:trPr>
          <w:trHeight w:val="548"/>
          <w:jc w:val="center"/>
        </w:trPr>
        <w:tc>
          <w:tcPr>
            <w:tcW w:w="1980" w:type="dxa"/>
            <w:vAlign w:val="center"/>
          </w:tcPr>
          <w:p w14:paraId="475A33A3" w14:textId="77777777" w:rsidR="00823D44" w:rsidRDefault="00F947F7">
            <w:pPr>
              <w:jc w:val="center"/>
              <w:rPr>
                <w:sz w:val="24"/>
              </w:rPr>
            </w:pPr>
            <w:r>
              <w:rPr>
                <w:rFonts w:hint="eastAsia"/>
                <w:sz w:val="24"/>
              </w:rPr>
              <w:t>电话</w:t>
            </w:r>
          </w:p>
        </w:tc>
        <w:tc>
          <w:tcPr>
            <w:tcW w:w="2171" w:type="dxa"/>
            <w:vAlign w:val="center"/>
          </w:tcPr>
          <w:p w14:paraId="6A7BDCF6" w14:textId="77777777" w:rsidR="00823D44" w:rsidRDefault="00F947F7">
            <w:pPr>
              <w:jc w:val="center"/>
              <w:rPr>
                <w:sz w:val="24"/>
                <w:szCs w:val="24"/>
              </w:rPr>
            </w:pPr>
            <w:r>
              <w:rPr>
                <w:rFonts w:hint="eastAsia"/>
                <w:sz w:val="24"/>
                <w:szCs w:val="24"/>
                <w:lang w:val="en-US"/>
              </w:rPr>
              <w:t>15905166373</w:t>
            </w:r>
          </w:p>
        </w:tc>
        <w:tc>
          <w:tcPr>
            <w:tcW w:w="850" w:type="dxa"/>
            <w:gridSpan w:val="2"/>
            <w:vAlign w:val="center"/>
          </w:tcPr>
          <w:p w14:paraId="2CD8C706" w14:textId="77777777" w:rsidR="00823D44" w:rsidRDefault="00F947F7">
            <w:pPr>
              <w:jc w:val="center"/>
              <w:rPr>
                <w:sz w:val="24"/>
              </w:rPr>
            </w:pPr>
            <w:r>
              <w:rPr>
                <w:rFonts w:hint="eastAsia"/>
                <w:sz w:val="24"/>
              </w:rPr>
              <w:t>邮箱</w:t>
            </w:r>
          </w:p>
        </w:tc>
        <w:tc>
          <w:tcPr>
            <w:tcW w:w="4234" w:type="dxa"/>
            <w:gridSpan w:val="3"/>
            <w:vAlign w:val="center"/>
          </w:tcPr>
          <w:p w14:paraId="1357FC1C" w14:textId="77777777" w:rsidR="00823D44" w:rsidRDefault="00F947F7">
            <w:pPr>
              <w:jc w:val="center"/>
              <w:rPr>
                <w:sz w:val="24"/>
                <w:szCs w:val="24"/>
              </w:rPr>
            </w:pPr>
            <w:r>
              <w:rPr>
                <w:rFonts w:hint="eastAsia"/>
                <w:sz w:val="24"/>
                <w:szCs w:val="24"/>
                <w:lang w:val="en-US"/>
              </w:rPr>
              <w:t>wsy_hi@163.com</w:t>
            </w:r>
          </w:p>
        </w:tc>
      </w:tr>
      <w:tr w:rsidR="00823D44" w14:paraId="20D7CD00" w14:textId="77777777">
        <w:trPr>
          <w:trHeight w:val="657"/>
          <w:jc w:val="center"/>
        </w:trPr>
        <w:tc>
          <w:tcPr>
            <w:tcW w:w="1980" w:type="dxa"/>
            <w:vAlign w:val="center"/>
          </w:tcPr>
          <w:p w14:paraId="1F16948F" w14:textId="77777777" w:rsidR="00823D44" w:rsidRDefault="00F947F7">
            <w:pPr>
              <w:jc w:val="center"/>
              <w:rPr>
                <w:sz w:val="24"/>
              </w:rPr>
            </w:pPr>
            <w:r>
              <w:rPr>
                <w:rFonts w:hint="eastAsia"/>
                <w:sz w:val="24"/>
              </w:rPr>
              <w:t>技术与市场</w:t>
            </w:r>
          </w:p>
          <w:p w14:paraId="404E0259" w14:textId="77777777" w:rsidR="00823D44" w:rsidRDefault="00F947F7">
            <w:pPr>
              <w:jc w:val="center"/>
              <w:rPr>
                <w:sz w:val="24"/>
              </w:rPr>
            </w:pPr>
            <w:r>
              <w:rPr>
                <w:rFonts w:hint="eastAsia"/>
                <w:sz w:val="24"/>
              </w:rPr>
              <w:t>发展背景</w:t>
            </w:r>
          </w:p>
        </w:tc>
        <w:tc>
          <w:tcPr>
            <w:tcW w:w="7255" w:type="dxa"/>
            <w:gridSpan w:val="6"/>
          </w:tcPr>
          <w:p w14:paraId="0BBCE65A" w14:textId="66B28A70" w:rsidR="00823D44" w:rsidRDefault="00F947F7">
            <w:pPr>
              <w:ind w:firstLineChars="200" w:firstLine="480"/>
              <w:rPr>
                <w:sz w:val="24"/>
                <w:szCs w:val="24"/>
              </w:rPr>
            </w:pPr>
            <w:r>
              <w:rPr>
                <w:rFonts w:ascii="Segoe UI" w:eastAsia="Segoe UI" w:hAnsi="Segoe UI" w:cs="Segoe UI"/>
                <w:sz w:val="24"/>
                <w:szCs w:val="24"/>
                <w:shd w:val="clear" w:color="auto" w:fill="FFFFFF"/>
              </w:rPr>
              <w:t>在当下船舶制造行业，数字化转型已成为不可逆转的趋势，为船舶总装建造领域带来全新变革。从技术层面看，大数据、人工智能、物联网等前沿技术迅猛发展并逐渐渗透到船舶总装建造的各个环节。通过数字化建模与仿真技术，可优化船舶设计方案，提升设计精准度与效率；</w:t>
            </w:r>
            <w:r w:rsidR="00747841">
              <w:rPr>
                <w:rFonts w:hAnsiTheme="minorEastAsia" w:cs="Segoe UI" w:hint="eastAsia"/>
                <w:sz w:val="24"/>
                <w:szCs w:val="24"/>
                <w:shd w:val="clear" w:color="auto" w:fill="FFFFFF"/>
              </w:rPr>
              <w:t>利用</w:t>
            </w:r>
            <w:r>
              <w:rPr>
                <w:rFonts w:ascii="Segoe UI" w:eastAsia="Segoe UI" w:hAnsi="Segoe UI" w:cs="Segoe UI"/>
                <w:sz w:val="24"/>
                <w:szCs w:val="24"/>
                <w:shd w:val="clear" w:color="auto" w:fill="FFFFFF"/>
              </w:rPr>
              <w:t>物联网技术实现设备互联互通，实时采集生产数据，助力生产流程的智能管控。</w:t>
            </w:r>
            <w:r>
              <w:rPr>
                <w:rFonts w:hint="eastAsia"/>
                <w:sz w:val="24"/>
                <w:szCs w:val="24"/>
              </w:rPr>
              <w:t>国家发布的GB_T39117-2020《智能制造能力成熟度评估方法》对船舶总装建造业数字化转型的指导性不强，</w:t>
            </w:r>
            <w:r>
              <w:rPr>
                <w:rFonts w:hint="eastAsia"/>
                <w:sz w:val="24"/>
                <w:szCs w:val="24"/>
                <w:lang w:val="en-US"/>
              </w:rPr>
              <w:t>指数</w:t>
            </w:r>
            <w:r>
              <w:rPr>
                <w:rFonts w:hint="eastAsia"/>
                <w:sz w:val="24"/>
                <w:szCs w:val="24"/>
              </w:rPr>
              <w:t>指标仍需进一步细化。</w:t>
            </w:r>
          </w:p>
          <w:p w14:paraId="68DDD240" w14:textId="47E56EAE" w:rsidR="00747841" w:rsidRPr="00747841" w:rsidRDefault="00747841" w:rsidP="00747841">
            <w:pPr>
              <w:ind w:firstLineChars="200" w:firstLine="480"/>
              <w:rPr>
                <w:sz w:val="24"/>
              </w:rPr>
            </w:pPr>
            <w:r w:rsidRPr="00747841">
              <w:rPr>
                <w:rFonts w:hint="eastAsia"/>
                <w:sz w:val="24"/>
                <w:szCs w:val="24"/>
              </w:rPr>
              <w:t>市场层面，全球航运业对船舶的需求日益多样化，且对船舶性能、质量及交付周期提出更高要求。数字化转型能有效提升船舶总装建造企业的生产效率，降低成本，增强产品竞争力，从而更好地满足市场需求。在此背景下，开展</w:t>
            </w:r>
            <w:r w:rsidR="00762B6A" w:rsidRPr="00D1722E">
              <w:rPr>
                <w:rFonts w:hint="eastAsia"/>
                <w:sz w:val="24"/>
                <w:szCs w:val="24"/>
              </w:rPr>
              <w:t>船舶总装建造数字化转型成熟度评估方法</w:t>
            </w:r>
            <w:r w:rsidRPr="00747841">
              <w:rPr>
                <w:rFonts w:hint="eastAsia"/>
                <w:sz w:val="24"/>
                <w:szCs w:val="24"/>
              </w:rPr>
              <w:t>的研究刻不容缓，它将为企业转型提供科学指引，助力企业在激烈的市场竞争中脱颖而出。</w:t>
            </w:r>
          </w:p>
        </w:tc>
      </w:tr>
      <w:tr w:rsidR="00823D44" w14:paraId="4A9383F0" w14:textId="77777777">
        <w:trPr>
          <w:trHeight w:val="673"/>
          <w:jc w:val="center"/>
        </w:trPr>
        <w:tc>
          <w:tcPr>
            <w:tcW w:w="1980" w:type="dxa"/>
            <w:vAlign w:val="center"/>
          </w:tcPr>
          <w:p w14:paraId="11E0341F" w14:textId="77777777" w:rsidR="00823D44" w:rsidRDefault="00F947F7">
            <w:pPr>
              <w:jc w:val="center"/>
              <w:rPr>
                <w:sz w:val="24"/>
              </w:rPr>
            </w:pPr>
            <w:r>
              <w:rPr>
                <w:rFonts w:hint="eastAsia"/>
                <w:sz w:val="24"/>
              </w:rPr>
              <w:t>标准必要性和</w:t>
            </w:r>
          </w:p>
          <w:p w14:paraId="613C48CD" w14:textId="77777777" w:rsidR="00823D44" w:rsidRDefault="00F947F7">
            <w:pPr>
              <w:jc w:val="center"/>
              <w:rPr>
                <w:sz w:val="24"/>
              </w:rPr>
            </w:pPr>
            <w:r>
              <w:rPr>
                <w:rFonts w:hint="eastAsia"/>
                <w:sz w:val="24"/>
              </w:rPr>
              <w:t>可行性</w:t>
            </w:r>
          </w:p>
        </w:tc>
        <w:tc>
          <w:tcPr>
            <w:tcW w:w="7255" w:type="dxa"/>
            <w:gridSpan w:val="6"/>
          </w:tcPr>
          <w:p w14:paraId="60C1BB82" w14:textId="10E604E9" w:rsidR="00823D44" w:rsidRDefault="00F947F7">
            <w:pPr>
              <w:ind w:firstLineChars="200" w:firstLine="480"/>
              <w:rPr>
                <w:sz w:val="24"/>
                <w:szCs w:val="24"/>
              </w:rPr>
            </w:pPr>
            <w:r>
              <w:rPr>
                <w:rFonts w:hint="eastAsia"/>
                <w:sz w:val="24"/>
                <w:szCs w:val="24"/>
              </w:rPr>
              <w:t>目前</w:t>
            </w:r>
            <w:r>
              <w:rPr>
                <w:rFonts w:hint="eastAsia"/>
                <w:sz w:val="24"/>
                <w:szCs w:val="24"/>
                <w:lang w:val="en-US"/>
              </w:rPr>
              <w:t>国内没有</w:t>
            </w:r>
            <w:r>
              <w:rPr>
                <w:rFonts w:hint="eastAsia"/>
                <w:sz w:val="24"/>
                <w:szCs w:val="24"/>
              </w:rPr>
              <w:t>针对</w:t>
            </w:r>
            <w:r w:rsidR="0019236C" w:rsidRPr="00D1722E">
              <w:rPr>
                <w:rFonts w:hint="eastAsia"/>
                <w:sz w:val="24"/>
                <w:szCs w:val="24"/>
              </w:rPr>
              <w:t>船舶总装建造数字化转型成熟度</w:t>
            </w:r>
            <w:r>
              <w:rPr>
                <w:rFonts w:hint="eastAsia"/>
                <w:sz w:val="24"/>
                <w:szCs w:val="24"/>
              </w:rPr>
              <w:t>的</w:t>
            </w:r>
            <w:r w:rsidR="00747841">
              <w:rPr>
                <w:rFonts w:hint="eastAsia"/>
                <w:sz w:val="24"/>
                <w:szCs w:val="24"/>
              </w:rPr>
              <w:t>评估</w:t>
            </w:r>
            <w:r>
              <w:rPr>
                <w:rFonts w:hint="eastAsia"/>
                <w:sz w:val="24"/>
                <w:szCs w:val="24"/>
                <w:lang w:val="en-US"/>
              </w:rPr>
              <w:t>方法</w:t>
            </w:r>
            <w:r>
              <w:rPr>
                <w:rFonts w:hint="eastAsia"/>
                <w:sz w:val="24"/>
                <w:szCs w:val="24"/>
              </w:rPr>
              <w:t>。通过该</w:t>
            </w:r>
            <w:r w:rsidR="007B16F2">
              <w:rPr>
                <w:rFonts w:hint="eastAsia"/>
                <w:sz w:val="24"/>
                <w:szCs w:val="24"/>
              </w:rPr>
              <w:t>标准的制定</w:t>
            </w:r>
            <w:r>
              <w:rPr>
                <w:rFonts w:hint="eastAsia"/>
                <w:sz w:val="24"/>
                <w:szCs w:val="24"/>
              </w:rPr>
              <w:t>，</w:t>
            </w:r>
            <w:r>
              <w:rPr>
                <w:rFonts w:hint="eastAsia"/>
                <w:sz w:val="24"/>
                <w:szCs w:val="24"/>
                <w:lang w:val="en-US"/>
              </w:rPr>
              <w:t>建立体系化的数字化转型</w:t>
            </w:r>
            <w:r w:rsidR="0015191A">
              <w:rPr>
                <w:rFonts w:hint="eastAsia"/>
                <w:sz w:val="24"/>
                <w:szCs w:val="24"/>
                <w:lang w:val="en-US"/>
              </w:rPr>
              <w:t>成熟度</w:t>
            </w:r>
            <w:r w:rsidR="00747841">
              <w:rPr>
                <w:rFonts w:hint="eastAsia"/>
                <w:sz w:val="24"/>
                <w:szCs w:val="24"/>
                <w:lang w:val="en-US"/>
              </w:rPr>
              <w:t>评估</w:t>
            </w:r>
            <w:r>
              <w:rPr>
                <w:rFonts w:hint="eastAsia"/>
                <w:sz w:val="24"/>
                <w:szCs w:val="24"/>
                <w:lang w:val="en-US"/>
              </w:rPr>
              <w:t>方法，</w:t>
            </w:r>
            <w:r>
              <w:rPr>
                <w:rFonts w:hint="eastAsia"/>
                <w:sz w:val="24"/>
                <w:szCs w:val="24"/>
              </w:rPr>
              <w:t>实现由点到线、由线到面</w:t>
            </w:r>
            <w:r>
              <w:rPr>
                <w:rFonts w:hint="eastAsia"/>
                <w:sz w:val="24"/>
                <w:szCs w:val="24"/>
                <w:lang w:val="en-US"/>
              </w:rPr>
              <w:t>的全覆盖，支撑船舶企业对其数字化转型水平的客观真实评估。另外，</w:t>
            </w:r>
            <w:r w:rsidR="00747841">
              <w:rPr>
                <w:rFonts w:hint="eastAsia"/>
                <w:sz w:val="24"/>
                <w:szCs w:val="24"/>
                <w:lang w:val="en-US"/>
              </w:rPr>
              <w:t>评估</w:t>
            </w:r>
            <w:r>
              <w:rPr>
                <w:rFonts w:hint="eastAsia"/>
                <w:sz w:val="24"/>
                <w:szCs w:val="24"/>
                <w:lang w:val="en-US"/>
              </w:rPr>
              <w:t>方法的建立，有助于</w:t>
            </w:r>
            <w:r>
              <w:rPr>
                <w:rFonts w:hint="eastAsia"/>
                <w:sz w:val="24"/>
                <w:szCs w:val="24"/>
              </w:rPr>
              <w:t>优化、完善、健全我国船舶总装建造数字化转型</w:t>
            </w:r>
            <w:r w:rsidR="00747841">
              <w:rPr>
                <w:rFonts w:hint="eastAsia"/>
                <w:sz w:val="24"/>
                <w:szCs w:val="24"/>
              </w:rPr>
              <w:t>评估</w:t>
            </w:r>
            <w:r>
              <w:rPr>
                <w:rFonts w:hint="eastAsia"/>
                <w:sz w:val="24"/>
                <w:szCs w:val="24"/>
                <w:lang w:val="en-US"/>
              </w:rPr>
              <w:t>模型</w:t>
            </w:r>
            <w:r>
              <w:rPr>
                <w:rFonts w:hint="eastAsia"/>
                <w:sz w:val="24"/>
                <w:szCs w:val="24"/>
              </w:rPr>
              <w:t>，</w:t>
            </w:r>
            <w:r>
              <w:rPr>
                <w:rFonts w:hint="eastAsia"/>
                <w:sz w:val="24"/>
                <w:szCs w:val="24"/>
                <w:lang w:val="en-US"/>
              </w:rPr>
              <w:t>进一步</w:t>
            </w:r>
            <w:r>
              <w:rPr>
                <w:rFonts w:hint="eastAsia"/>
                <w:sz w:val="24"/>
                <w:szCs w:val="24"/>
              </w:rPr>
              <w:t>规范我国船舶总装建造数字化建设，加速数字化转型升级，提升船舶总装建造技术和管理水平，增强国际竞争力，有力支撑我国造船大国向造船强国转变。</w:t>
            </w:r>
          </w:p>
          <w:p w14:paraId="03435EAB" w14:textId="439EC326" w:rsidR="00823D44" w:rsidRDefault="00BF6D5E">
            <w:pPr>
              <w:ind w:firstLineChars="200" w:firstLine="480"/>
              <w:rPr>
                <w:rFonts w:eastAsia="宋体"/>
                <w:sz w:val="24"/>
              </w:rPr>
            </w:pPr>
            <w:r>
              <w:rPr>
                <w:rFonts w:hint="eastAsia"/>
                <w:sz w:val="24"/>
                <w:szCs w:val="24"/>
                <w:lang w:val="en-US"/>
              </w:rPr>
              <w:lastRenderedPageBreak/>
              <w:t>可行性</w:t>
            </w:r>
            <w:r w:rsidR="00F947F7">
              <w:rPr>
                <w:rFonts w:hint="eastAsia"/>
                <w:sz w:val="24"/>
                <w:szCs w:val="24"/>
                <w:lang w:val="en-US"/>
              </w:rPr>
              <w:t>方面，</w:t>
            </w:r>
            <w:r w:rsidR="00F947F7">
              <w:rPr>
                <w:rFonts w:hint="eastAsia"/>
                <w:sz w:val="24"/>
                <w:szCs w:val="24"/>
              </w:rPr>
              <w:t>船舶总装建造领域已经积累了丰富的技术应用经验。物联网技术实现了设备间的数据互通，能实时采集生产数据，为</w:t>
            </w:r>
            <w:r w:rsidR="00747841">
              <w:rPr>
                <w:rFonts w:hint="eastAsia"/>
                <w:sz w:val="24"/>
                <w:szCs w:val="24"/>
              </w:rPr>
              <w:t>评估</w:t>
            </w:r>
            <w:r w:rsidR="00F947F7">
              <w:rPr>
                <w:rFonts w:hint="eastAsia"/>
                <w:sz w:val="24"/>
                <w:szCs w:val="24"/>
              </w:rPr>
              <w:t>提供客观依据；大数据分析可处理海量生产信息，挖掘关键数据指标，助力</w:t>
            </w:r>
            <w:r w:rsidR="00747841">
              <w:rPr>
                <w:rFonts w:hint="eastAsia"/>
                <w:sz w:val="24"/>
                <w:szCs w:val="24"/>
              </w:rPr>
              <w:t>评估</w:t>
            </w:r>
            <w:r w:rsidR="00F947F7">
              <w:rPr>
                <w:rFonts w:hint="eastAsia"/>
                <w:sz w:val="24"/>
                <w:szCs w:val="24"/>
              </w:rPr>
              <w:t>体系的量化构建。</w:t>
            </w:r>
            <w:r w:rsidR="00F947F7">
              <w:rPr>
                <w:rFonts w:hint="eastAsia"/>
                <w:sz w:val="24"/>
                <w:szCs w:val="24"/>
                <w:lang w:val="en-US"/>
              </w:rPr>
              <w:t>国家及相关部门高度重视船舶工业的数字化转型。工信部发布的《船舶总装建造智能化标准体系建设指南(2020版)》为标准编写指明方向，明确了标准体系建设的阶段性目标。《船舶制造业绿色发展行动纲要（2024—2030年）》将船舶总装建造数字化提升工程列为重点工作，持续推动相关标准的研究完善。</w:t>
            </w:r>
          </w:p>
        </w:tc>
      </w:tr>
      <w:tr w:rsidR="00823D44" w14:paraId="19DB7DAE" w14:textId="77777777">
        <w:trPr>
          <w:trHeight w:val="702"/>
          <w:jc w:val="center"/>
        </w:trPr>
        <w:tc>
          <w:tcPr>
            <w:tcW w:w="1980" w:type="dxa"/>
            <w:vAlign w:val="center"/>
          </w:tcPr>
          <w:p w14:paraId="18396269" w14:textId="77777777" w:rsidR="00823D44" w:rsidRDefault="00F947F7">
            <w:pPr>
              <w:jc w:val="center"/>
              <w:rPr>
                <w:rFonts w:ascii="宋体" w:hAnsi="宋体"/>
                <w:sz w:val="24"/>
              </w:rPr>
            </w:pPr>
            <w:r>
              <w:rPr>
                <w:rFonts w:ascii="宋体" w:hAnsi="宋体" w:hint="eastAsia"/>
                <w:sz w:val="24"/>
              </w:rPr>
              <w:lastRenderedPageBreak/>
              <w:t>国内外情况</w:t>
            </w:r>
          </w:p>
          <w:p w14:paraId="6C8126EA" w14:textId="77777777" w:rsidR="00823D44" w:rsidRDefault="00F947F7">
            <w:pPr>
              <w:jc w:val="center"/>
              <w:rPr>
                <w:sz w:val="24"/>
              </w:rPr>
            </w:pPr>
            <w:r>
              <w:rPr>
                <w:rFonts w:ascii="宋体" w:hAnsi="宋体" w:hint="eastAsia"/>
                <w:sz w:val="24"/>
              </w:rPr>
              <w:t>简要说明</w:t>
            </w:r>
          </w:p>
        </w:tc>
        <w:tc>
          <w:tcPr>
            <w:tcW w:w="7255" w:type="dxa"/>
            <w:gridSpan w:val="6"/>
          </w:tcPr>
          <w:p w14:paraId="6A9E7B0D" w14:textId="0016FC2C" w:rsidR="007B16F2" w:rsidRDefault="00F947F7">
            <w:pPr>
              <w:ind w:firstLineChars="200" w:firstLine="480"/>
              <w:rPr>
                <w:sz w:val="24"/>
                <w:szCs w:val="24"/>
              </w:rPr>
            </w:pPr>
            <w:r>
              <w:rPr>
                <w:rFonts w:hint="eastAsia"/>
                <w:sz w:val="24"/>
                <w:szCs w:val="24"/>
              </w:rPr>
              <w:t>在全球范围内，先进造船国家如韩国、日本等，早已积极投身船舶总装建造数字化转型进程，并构建了相对成熟的</w:t>
            </w:r>
            <w:r w:rsidR="00747841">
              <w:rPr>
                <w:rFonts w:hint="eastAsia"/>
                <w:sz w:val="24"/>
                <w:szCs w:val="24"/>
              </w:rPr>
              <w:t>评估</w:t>
            </w:r>
            <w:r>
              <w:rPr>
                <w:rFonts w:hint="eastAsia"/>
                <w:sz w:val="24"/>
                <w:szCs w:val="24"/>
              </w:rPr>
              <w:t>体系。韩国凭借雄厚的技术实力，在数字化设计、智能生产管控等方面成果斐然，其</w:t>
            </w:r>
            <w:r w:rsidR="00747841">
              <w:rPr>
                <w:rFonts w:hint="eastAsia"/>
                <w:sz w:val="24"/>
                <w:szCs w:val="24"/>
              </w:rPr>
              <w:t>评估</w:t>
            </w:r>
            <w:r>
              <w:rPr>
                <w:rFonts w:hint="eastAsia"/>
                <w:sz w:val="24"/>
                <w:szCs w:val="24"/>
              </w:rPr>
              <w:t>体系侧重对高端技术应用与生产效率提升的量化评估。日本则注重精细化管理与质量把控，</w:t>
            </w:r>
            <w:r w:rsidR="00747841">
              <w:rPr>
                <w:rFonts w:hint="eastAsia"/>
                <w:sz w:val="24"/>
                <w:szCs w:val="24"/>
              </w:rPr>
              <w:t>评估</w:t>
            </w:r>
            <w:r>
              <w:rPr>
                <w:rFonts w:hint="eastAsia"/>
                <w:sz w:val="24"/>
                <w:szCs w:val="24"/>
              </w:rPr>
              <w:t>标准紧密围绕产品质量、生产流程优化及可持续发展能力等维度，对船舶全生命周期的数字化程度进行综合考量</w:t>
            </w:r>
            <w:r w:rsidR="005D128B">
              <w:rPr>
                <w:rFonts w:hint="eastAsia"/>
                <w:sz w:val="24"/>
                <w:szCs w:val="24"/>
              </w:rPr>
              <w:t>，如</w:t>
            </w:r>
            <w:r w:rsidR="005D128B" w:rsidRPr="005D128B">
              <w:rPr>
                <w:rFonts w:hint="eastAsia"/>
                <w:sz w:val="24"/>
                <w:szCs w:val="24"/>
              </w:rPr>
              <w:t>日本船级社（NK）发布</w:t>
            </w:r>
            <w:r w:rsidR="005D128B">
              <w:rPr>
                <w:rFonts w:hint="eastAsia"/>
                <w:sz w:val="24"/>
                <w:szCs w:val="24"/>
              </w:rPr>
              <w:t>的《</w:t>
            </w:r>
            <w:r w:rsidR="005D128B" w:rsidRPr="005D128B">
              <w:rPr>
                <w:rFonts w:hint="eastAsia"/>
                <w:sz w:val="24"/>
                <w:szCs w:val="24"/>
              </w:rPr>
              <w:t>数字智能船舶指南</w:t>
            </w:r>
            <w:r w:rsidR="005D128B">
              <w:rPr>
                <w:rFonts w:hint="eastAsia"/>
                <w:sz w:val="24"/>
                <w:szCs w:val="24"/>
              </w:rPr>
              <w:t>》</w:t>
            </w:r>
            <w:r w:rsidR="005D128B" w:rsidRPr="005D128B">
              <w:rPr>
                <w:rFonts w:hint="eastAsia"/>
                <w:sz w:val="24"/>
                <w:szCs w:val="24"/>
              </w:rPr>
              <w:t>（Guidelines for Digital Smart Ships）</w:t>
            </w:r>
            <w:r>
              <w:rPr>
                <w:rFonts w:hint="eastAsia"/>
                <w:sz w:val="24"/>
                <w:szCs w:val="24"/>
              </w:rPr>
              <w:t>。国际标准化组织也在不断推动相关国际标准的制定，促进全球船舶总装建造数字化转型</w:t>
            </w:r>
            <w:r w:rsidR="00747841">
              <w:rPr>
                <w:rFonts w:hint="eastAsia"/>
                <w:sz w:val="24"/>
                <w:szCs w:val="24"/>
              </w:rPr>
              <w:t>评估</w:t>
            </w:r>
            <w:r>
              <w:rPr>
                <w:rFonts w:hint="eastAsia"/>
                <w:sz w:val="24"/>
                <w:szCs w:val="24"/>
              </w:rPr>
              <w:t>的规范化与统一化</w:t>
            </w:r>
            <w:bookmarkStart w:id="2" w:name="_GoBack"/>
            <w:bookmarkEnd w:id="2"/>
            <w:r w:rsidR="00280A5F" w:rsidRPr="00280A5F">
              <w:rPr>
                <w:rFonts w:hint="eastAsia"/>
                <w:sz w:val="24"/>
                <w:szCs w:val="24"/>
              </w:rPr>
              <w:t>，数字化转型评估标准尚属空白</w:t>
            </w:r>
          </w:p>
          <w:p w14:paraId="21D45D64" w14:textId="77777777" w:rsidR="00DF092C" w:rsidRDefault="00F947F7">
            <w:pPr>
              <w:ind w:firstLineChars="200" w:firstLine="480"/>
              <w:rPr>
                <w:sz w:val="24"/>
                <w:szCs w:val="24"/>
              </w:rPr>
            </w:pPr>
            <w:r>
              <w:rPr>
                <w:rFonts w:hint="eastAsia"/>
                <w:sz w:val="24"/>
                <w:szCs w:val="24"/>
              </w:rPr>
              <w:t>国内对船舶总装建造数字化转型高度重视，工业和信息化部于 2020年发布《船舶总装建造智能化标准体系建设指南 (2020版)》，明确到2021年初步建立标准体系，制定30项以上急需标准；到2025年建立完善体系，达到国际先进水平。当下，中国船舶工业行业协会正积极开展船舶行业数字化团体标准制订项目需求征集，涵盖船舶总装建造数字化转型的</w:t>
            </w:r>
            <w:r w:rsidR="00747841">
              <w:rPr>
                <w:rFonts w:hint="eastAsia"/>
                <w:sz w:val="24"/>
                <w:szCs w:val="24"/>
              </w:rPr>
              <w:t>评估</w:t>
            </w:r>
            <w:r>
              <w:rPr>
                <w:rFonts w:hint="eastAsia"/>
                <w:sz w:val="24"/>
                <w:szCs w:val="24"/>
              </w:rPr>
              <w:t>模型、方法等方面。随着《船舶制造业绿色发展行动纲要（2024—2030年）》的印发，船舶总装建造数字化提升工程成为重点工作，将进一步推动相关</w:t>
            </w:r>
            <w:r w:rsidR="00747841">
              <w:rPr>
                <w:rFonts w:hint="eastAsia"/>
                <w:sz w:val="24"/>
                <w:szCs w:val="24"/>
              </w:rPr>
              <w:t>评估</w:t>
            </w:r>
            <w:r>
              <w:rPr>
                <w:rFonts w:hint="eastAsia"/>
                <w:sz w:val="24"/>
                <w:szCs w:val="24"/>
              </w:rPr>
              <w:t>标准的研究与完善。众多国内船厂也在积极探索实践，为</w:t>
            </w:r>
            <w:r w:rsidR="00747841">
              <w:rPr>
                <w:rFonts w:hint="eastAsia"/>
                <w:sz w:val="24"/>
                <w:szCs w:val="24"/>
              </w:rPr>
              <w:t>评估</w:t>
            </w:r>
            <w:r>
              <w:rPr>
                <w:rFonts w:hint="eastAsia"/>
                <w:sz w:val="24"/>
                <w:szCs w:val="24"/>
              </w:rPr>
              <w:t>方法的落地应用提供丰富案例。</w:t>
            </w:r>
          </w:p>
          <w:p w14:paraId="2FD502DC" w14:textId="16388730" w:rsidR="00823D44" w:rsidRDefault="00DF092C">
            <w:pPr>
              <w:ind w:firstLineChars="200" w:firstLine="480"/>
              <w:rPr>
                <w:sz w:val="24"/>
              </w:rPr>
            </w:pPr>
            <w:r>
              <w:rPr>
                <w:rFonts w:hint="eastAsia"/>
                <w:sz w:val="24"/>
                <w:szCs w:val="24"/>
              </w:rPr>
              <w:t>本标准</w:t>
            </w:r>
            <w:r>
              <w:rPr>
                <w:rFonts w:hint="eastAsia"/>
                <w:sz w:val="24"/>
                <w:szCs w:val="24"/>
                <w:lang w:val="en-US"/>
              </w:rPr>
              <w:t>结合国内船舶行业的特性优化指标，适应国内船舶总装建造数字化的发展</w:t>
            </w:r>
            <w:r w:rsidR="00F947F7">
              <w:rPr>
                <w:rFonts w:hint="eastAsia"/>
                <w:sz w:val="24"/>
                <w:szCs w:val="24"/>
                <w:lang w:val="en-US"/>
              </w:rPr>
              <w:t>。</w:t>
            </w:r>
          </w:p>
        </w:tc>
      </w:tr>
      <w:tr w:rsidR="00823D44" w14:paraId="6311EA71" w14:textId="77777777">
        <w:trPr>
          <w:trHeight w:val="581"/>
          <w:jc w:val="center"/>
        </w:trPr>
        <w:tc>
          <w:tcPr>
            <w:tcW w:w="1980" w:type="dxa"/>
            <w:vAlign w:val="center"/>
          </w:tcPr>
          <w:p w14:paraId="14712D54" w14:textId="77777777" w:rsidR="00823D44" w:rsidRDefault="00F947F7">
            <w:pPr>
              <w:jc w:val="center"/>
              <w:rPr>
                <w:sz w:val="24"/>
              </w:rPr>
            </w:pPr>
            <w:r>
              <w:rPr>
                <w:rFonts w:hint="eastAsia"/>
                <w:sz w:val="24"/>
              </w:rPr>
              <w:t>标准适用范围</w:t>
            </w:r>
          </w:p>
          <w:p w14:paraId="54E4B8AF" w14:textId="77777777" w:rsidR="00823D44" w:rsidRDefault="00F947F7">
            <w:pPr>
              <w:jc w:val="center"/>
              <w:rPr>
                <w:sz w:val="24"/>
              </w:rPr>
            </w:pPr>
            <w:r>
              <w:rPr>
                <w:rFonts w:hint="eastAsia"/>
                <w:sz w:val="24"/>
              </w:rPr>
              <w:t>和主要技术内容</w:t>
            </w:r>
          </w:p>
        </w:tc>
        <w:tc>
          <w:tcPr>
            <w:tcW w:w="7255" w:type="dxa"/>
            <w:gridSpan w:val="6"/>
          </w:tcPr>
          <w:p w14:paraId="658DE681" w14:textId="77777777" w:rsidR="00823D44" w:rsidRDefault="00F947F7">
            <w:pPr>
              <w:ind w:firstLineChars="200" w:firstLine="480"/>
              <w:rPr>
                <w:sz w:val="24"/>
                <w:szCs w:val="24"/>
              </w:rPr>
            </w:pPr>
            <w:r>
              <w:rPr>
                <w:rFonts w:hint="eastAsia"/>
                <w:sz w:val="24"/>
                <w:szCs w:val="24"/>
                <w:lang w:val="en-US"/>
              </w:rPr>
              <w:t>该标准适用于船舶总装建造行业。</w:t>
            </w:r>
          </w:p>
          <w:p w14:paraId="58201D53" w14:textId="1032663E" w:rsidR="00823D44" w:rsidRDefault="00F947F7" w:rsidP="00E545EB">
            <w:pPr>
              <w:ind w:firstLineChars="200" w:firstLine="480"/>
              <w:rPr>
                <w:i/>
                <w:sz w:val="24"/>
                <w:u w:val="single"/>
              </w:rPr>
            </w:pPr>
            <w:r>
              <w:rPr>
                <w:rFonts w:hint="eastAsia"/>
                <w:sz w:val="24"/>
                <w:szCs w:val="24"/>
                <w:lang w:val="en-US"/>
              </w:rPr>
              <w:t>主要技术内容：研究船舶总装建造数字化转型</w:t>
            </w:r>
            <w:r w:rsidR="00747841">
              <w:rPr>
                <w:rFonts w:hint="eastAsia"/>
                <w:sz w:val="24"/>
                <w:szCs w:val="24"/>
                <w:lang w:val="en-US"/>
              </w:rPr>
              <w:t>评估</w:t>
            </w:r>
            <w:r>
              <w:rPr>
                <w:rFonts w:hint="eastAsia"/>
                <w:sz w:val="24"/>
                <w:szCs w:val="24"/>
                <w:lang w:val="en-US"/>
              </w:rPr>
              <w:t>过程中的</w:t>
            </w:r>
            <w:r w:rsidR="00747841">
              <w:rPr>
                <w:rFonts w:hint="eastAsia"/>
                <w:sz w:val="24"/>
                <w:szCs w:val="24"/>
                <w:lang w:val="en-US"/>
              </w:rPr>
              <w:t>评估</w:t>
            </w:r>
            <w:r>
              <w:rPr>
                <w:rFonts w:hint="eastAsia"/>
                <w:sz w:val="24"/>
                <w:szCs w:val="24"/>
                <w:lang w:val="en-US"/>
              </w:rPr>
              <w:t>对象、</w:t>
            </w:r>
            <w:r w:rsidR="00747841">
              <w:rPr>
                <w:rFonts w:hint="eastAsia"/>
                <w:sz w:val="24"/>
                <w:szCs w:val="24"/>
                <w:lang w:val="en-US"/>
              </w:rPr>
              <w:t>评估</w:t>
            </w:r>
            <w:r>
              <w:rPr>
                <w:rFonts w:hint="eastAsia"/>
                <w:sz w:val="24"/>
                <w:szCs w:val="24"/>
                <w:lang w:val="en-US"/>
              </w:rPr>
              <w:t>主题内容以及可具体操作的</w:t>
            </w:r>
            <w:r w:rsidR="00747841">
              <w:rPr>
                <w:rFonts w:hint="eastAsia"/>
                <w:sz w:val="24"/>
                <w:szCs w:val="24"/>
                <w:lang w:val="en-US"/>
              </w:rPr>
              <w:t>评估</w:t>
            </w:r>
            <w:r>
              <w:rPr>
                <w:rFonts w:hint="eastAsia"/>
                <w:sz w:val="24"/>
                <w:szCs w:val="24"/>
                <w:lang w:val="en-US"/>
              </w:rPr>
              <w:t>方法，明确关键的技术指标和权重，形成系统、完备的数字化转型</w:t>
            </w:r>
            <w:r w:rsidR="00747841">
              <w:rPr>
                <w:rFonts w:hint="eastAsia"/>
                <w:sz w:val="24"/>
                <w:szCs w:val="24"/>
                <w:lang w:val="en-US"/>
              </w:rPr>
              <w:t>评估</w:t>
            </w:r>
            <w:r>
              <w:rPr>
                <w:rFonts w:hint="eastAsia"/>
                <w:sz w:val="24"/>
                <w:szCs w:val="24"/>
                <w:lang w:val="en-US"/>
              </w:rPr>
              <w:t>方法。另外，通过</w:t>
            </w:r>
            <w:r w:rsidR="00747841">
              <w:rPr>
                <w:rFonts w:hint="eastAsia"/>
                <w:sz w:val="24"/>
                <w:szCs w:val="24"/>
                <w:lang w:val="en-US"/>
              </w:rPr>
              <w:t>评估</w:t>
            </w:r>
            <w:r>
              <w:rPr>
                <w:rFonts w:hint="eastAsia"/>
                <w:sz w:val="24"/>
                <w:szCs w:val="24"/>
                <w:lang w:val="en-US"/>
              </w:rPr>
              <w:t>权重综合测算方法，囊括层次分析法、熵值法、主成分分析等多元算法，实现权重的精确计算和灵活调整，确保评估体系能够适应不同企业的具体情况和转型需求。</w:t>
            </w:r>
          </w:p>
        </w:tc>
      </w:tr>
      <w:tr w:rsidR="00823D44" w14:paraId="32CA9442" w14:textId="77777777">
        <w:trPr>
          <w:trHeight w:val="510"/>
          <w:jc w:val="center"/>
        </w:trPr>
        <w:tc>
          <w:tcPr>
            <w:tcW w:w="1980" w:type="dxa"/>
            <w:vAlign w:val="center"/>
          </w:tcPr>
          <w:p w14:paraId="415BE377" w14:textId="77777777" w:rsidR="00823D44" w:rsidRDefault="00F947F7">
            <w:pPr>
              <w:widowControl/>
              <w:jc w:val="center"/>
              <w:rPr>
                <w:rFonts w:ascii="宋体" w:hAnsi="宋体"/>
                <w:sz w:val="24"/>
              </w:rPr>
            </w:pPr>
            <w:r>
              <w:rPr>
                <w:rFonts w:ascii="宋体" w:hAnsi="宋体" w:hint="eastAsia"/>
                <w:sz w:val="24"/>
              </w:rPr>
              <w:t>工作进度安排</w:t>
            </w:r>
          </w:p>
        </w:tc>
        <w:tc>
          <w:tcPr>
            <w:tcW w:w="7255" w:type="dxa"/>
            <w:gridSpan w:val="6"/>
          </w:tcPr>
          <w:p w14:paraId="0FB854EC" w14:textId="19C0B200" w:rsidR="00E545EB" w:rsidRPr="00387869" w:rsidRDefault="00E545EB" w:rsidP="00E545EB">
            <w:pPr>
              <w:ind w:firstLineChars="200" w:firstLine="480"/>
              <w:jc w:val="left"/>
              <w:rPr>
                <w:rFonts w:ascii="宋体" w:hAnsi="宋体"/>
                <w:sz w:val="24"/>
                <w:szCs w:val="24"/>
              </w:rPr>
            </w:pPr>
            <w:r w:rsidRPr="00387869">
              <w:rPr>
                <w:rFonts w:ascii="宋体" w:hAnsi="宋体" w:hint="eastAsia"/>
                <w:sz w:val="24"/>
                <w:szCs w:val="24"/>
              </w:rPr>
              <w:t>草案提交：2025年</w:t>
            </w:r>
            <w:r w:rsidR="008608DB">
              <w:rPr>
                <w:rFonts w:ascii="宋体" w:hAnsi="宋体"/>
                <w:sz w:val="24"/>
                <w:szCs w:val="24"/>
              </w:rPr>
              <w:t>3</w:t>
            </w:r>
            <w:r w:rsidRPr="00387869">
              <w:rPr>
                <w:rFonts w:ascii="宋体" w:hAnsi="宋体" w:hint="eastAsia"/>
                <w:sz w:val="24"/>
                <w:szCs w:val="24"/>
              </w:rPr>
              <w:t>月</w:t>
            </w:r>
            <w:r w:rsidR="006F0669">
              <w:rPr>
                <w:rFonts w:ascii="宋体" w:hAnsi="宋体" w:hint="eastAsia"/>
                <w:sz w:val="24"/>
                <w:szCs w:val="24"/>
              </w:rPr>
              <w:t>；</w:t>
            </w:r>
          </w:p>
          <w:p w14:paraId="2D9EAA57" w14:textId="107976A8" w:rsidR="00E545EB" w:rsidRDefault="00E545EB" w:rsidP="00E545EB">
            <w:pPr>
              <w:ind w:firstLineChars="200" w:firstLine="480"/>
              <w:jc w:val="left"/>
              <w:rPr>
                <w:rFonts w:ascii="宋体" w:hAnsi="宋体"/>
                <w:sz w:val="24"/>
                <w:szCs w:val="24"/>
              </w:rPr>
            </w:pPr>
            <w:r w:rsidRPr="00387869">
              <w:rPr>
                <w:rFonts w:ascii="宋体" w:hAnsi="宋体" w:hint="eastAsia"/>
                <w:sz w:val="24"/>
                <w:szCs w:val="24"/>
              </w:rPr>
              <w:t>预期立项：2025年4月</w:t>
            </w:r>
            <w:r w:rsidR="006F0669">
              <w:rPr>
                <w:rFonts w:ascii="宋体" w:hAnsi="宋体" w:hint="eastAsia"/>
                <w:sz w:val="24"/>
                <w:szCs w:val="24"/>
              </w:rPr>
              <w:t>；</w:t>
            </w:r>
          </w:p>
          <w:p w14:paraId="70F99B60" w14:textId="1EC9B78A" w:rsidR="00823D44" w:rsidRDefault="00E545EB" w:rsidP="00E545EB">
            <w:pPr>
              <w:ind w:firstLineChars="200" w:firstLine="480"/>
              <w:jc w:val="left"/>
              <w:rPr>
                <w:rFonts w:ascii="黑体" w:eastAsia="黑体" w:hAnsi="宋体"/>
                <w:color w:val="000000"/>
                <w:sz w:val="24"/>
              </w:rPr>
            </w:pPr>
            <w:r w:rsidRPr="00387869">
              <w:rPr>
                <w:rFonts w:ascii="宋体" w:hAnsi="宋体" w:hint="eastAsia"/>
                <w:sz w:val="24"/>
                <w:szCs w:val="24"/>
              </w:rPr>
              <w:t>预期发布：2025年</w:t>
            </w:r>
            <w:r w:rsidRPr="00387869">
              <w:rPr>
                <w:rFonts w:ascii="宋体" w:hAnsi="宋体"/>
                <w:sz w:val="24"/>
                <w:szCs w:val="24"/>
              </w:rPr>
              <w:t>12</w:t>
            </w:r>
            <w:r w:rsidRPr="00387869">
              <w:rPr>
                <w:rFonts w:ascii="宋体" w:hAnsi="宋体" w:hint="eastAsia"/>
                <w:sz w:val="24"/>
                <w:szCs w:val="24"/>
              </w:rPr>
              <w:t>月</w:t>
            </w:r>
            <w:r w:rsidR="006F0669">
              <w:rPr>
                <w:rFonts w:ascii="宋体" w:hAnsi="宋体" w:hint="eastAsia"/>
                <w:sz w:val="24"/>
                <w:szCs w:val="24"/>
              </w:rPr>
              <w:t>。</w:t>
            </w:r>
          </w:p>
        </w:tc>
      </w:tr>
      <w:tr w:rsidR="00823D44" w14:paraId="255C0C64" w14:textId="77777777">
        <w:trPr>
          <w:trHeight w:val="834"/>
          <w:jc w:val="center"/>
        </w:trPr>
        <w:tc>
          <w:tcPr>
            <w:tcW w:w="1980" w:type="dxa"/>
            <w:vAlign w:val="center"/>
          </w:tcPr>
          <w:p w14:paraId="20A66E7C" w14:textId="77777777" w:rsidR="00823D44" w:rsidRDefault="00F947F7">
            <w:pPr>
              <w:widowControl/>
              <w:jc w:val="center"/>
              <w:rPr>
                <w:rFonts w:ascii="宋体" w:hAnsi="宋体"/>
                <w:sz w:val="24"/>
              </w:rPr>
            </w:pPr>
            <w:r>
              <w:rPr>
                <w:rFonts w:ascii="宋体" w:hAnsi="宋体" w:hint="eastAsia"/>
                <w:sz w:val="24"/>
              </w:rPr>
              <w:t>标准预期实施</w:t>
            </w:r>
          </w:p>
          <w:p w14:paraId="2BE961F7" w14:textId="77777777" w:rsidR="00823D44" w:rsidRDefault="00F947F7">
            <w:pPr>
              <w:widowControl/>
              <w:jc w:val="center"/>
              <w:rPr>
                <w:rFonts w:ascii="宋体" w:hAnsi="宋体"/>
                <w:sz w:val="24"/>
              </w:rPr>
            </w:pPr>
            <w:r>
              <w:rPr>
                <w:rFonts w:ascii="宋体" w:hAnsi="宋体" w:hint="eastAsia"/>
                <w:sz w:val="24"/>
              </w:rPr>
              <w:t>应用方案</w:t>
            </w:r>
          </w:p>
        </w:tc>
        <w:tc>
          <w:tcPr>
            <w:tcW w:w="7255" w:type="dxa"/>
            <w:gridSpan w:val="6"/>
          </w:tcPr>
          <w:p w14:paraId="0733385F" w14:textId="77777777" w:rsidR="00823D44" w:rsidRDefault="00F947F7">
            <w:pPr>
              <w:ind w:firstLineChars="200" w:firstLine="480"/>
              <w:rPr>
                <w:sz w:val="24"/>
                <w:szCs w:val="24"/>
                <w:lang w:val="en-US"/>
              </w:rPr>
            </w:pPr>
            <w:r>
              <w:rPr>
                <w:rFonts w:hint="eastAsia"/>
                <w:sz w:val="24"/>
                <w:szCs w:val="24"/>
                <w:lang w:val="en-US"/>
              </w:rPr>
              <w:t>分阶段推广：</w:t>
            </w:r>
          </w:p>
          <w:p w14:paraId="53065420" w14:textId="77777777" w:rsidR="00823D44" w:rsidRDefault="00F947F7">
            <w:pPr>
              <w:ind w:firstLineChars="200" w:firstLine="480"/>
              <w:rPr>
                <w:sz w:val="24"/>
                <w:szCs w:val="24"/>
                <w:lang w:val="en-US"/>
              </w:rPr>
            </w:pPr>
            <w:r>
              <w:rPr>
                <w:rFonts w:hint="eastAsia"/>
                <w:sz w:val="24"/>
                <w:szCs w:val="24"/>
                <w:lang w:val="en-US"/>
              </w:rPr>
              <w:t>试点期（1年）：联合行业协会推动头部企业应用，积累典型案例。</w:t>
            </w:r>
          </w:p>
          <w:p w14:paraId="34D631A2" w14:textId="77777777" w:rsidR="00823D44" w:rsidRDefault="00F947F7">
            <w:pPr>
              <w:ind w:firstLineChars="200" w:firstLine="480"/>
              <w:rPr>
                <w:sz w:val="24"/>
                <w:szCs w:val="24"/>
                <w:lang w:val="en-US"/>
              </w:rPr>
            </w:pPr>
            <w:r>
              <w:rPr>
                <w:rFonts w:hint="eastAsia"/>
                <w:sz w:val="24"/>
                <w:szCs w:val="24"/>
                <w:lang w:val="en-US"/>
              </w:rPr>
              <w:lastRenderedPageBreak/>
              <w:t>扩展期（2年）：通过培训、政策补贴等方式覆盖集团全部船企，构建全面的数字化转型公共服务平台。</w:t>
            </w:r>
          </w:p>
          <w:p w14:paraId="183ADDCF" w14:textId="3BD0A6EB" w:rsidR="00823D44" w:rsidRDefault="00F947F7">
            <w:pPr>
              <w:ind w:firstLineChars="200" w:firstLine="480"/>
              <w:rPr>
                <w:sz w:val="24"/>
              </w:rPr>
            </w:pPr>
            <w:r>
              <w:rPr>
                <w:rFonts w:hint="eastAsia"/>
                <w:sz w:val="24"/>
                <w:szCs w:val="24"/>
                <w:lang w:val="en-US"/>
              </w:rPr>
              <w:t>动态优化机制：每两年修订标准，纳入新技术的应用</w:t>
            </w:r>
            <w:r w:rsidR="00747841">
              <w:rPr>
                <w:rFonts w:hint="eastAsia"/>
                <w:sz w:val="24"/>
                <w:szCs w:val="24"/>
                <w:lang w:val="en-US"/>
              </w:rPr>
              <w:t>评估</w:t>
            </w:r>
            <w:r>
              <w:rPr>
                <w:rFonts w:hint="eastAsia"/>
                <w:sz w:val="24"/>
                <w:szCs w:val="24"/>
                <w:lang w:val="en-US"/>
              </w:rPr>
              <w:t>。</w:t>
            </w:r>
          </w:p>
        </w:tc>
      </w:tr>
      <w:tr w:rsidR="00823D44" w14:paraId="1D1695B4" w14:textId="77777777">
        <w:trPr>
          <w:trHeight w:val="422"/>
          <w:jc w:val="center"/>
        </w:trPr>
        <w:tc>
          <w:tcPr>
            <w:tcW w:w="1980" w:type="dxa"/>
            <w:vAlign w:val="center"/>
          </w:tcPr>
          <w:p w14:paraId="57542906" w14:textId="77777777" w:rsidR="00823D44" w:rsidRDefault="00F947F7">
            <w:pPr>
              <w:widowControl/>
              <w:jc w:val="center"/>
              <w:rPr>
                <w:rFonts w:ascii="宋体" w:hAnsi="宋体"/>
                <w:sz w:val="24"/>
              </w:rPr>
            </w:pPr>
            <w:r>
              <w:rPr>
                <w:rFonts w:ascii="宋体" w:hAnsi="宋体" w:hint="eastAsia"/>
                <w:sz w:val="24"/>
              </w:rPr>
              <w:lastRenderedPageBreak/>
              <w:t>经费保障</w:t>
            </w:r>
          </w:p>
        </w:tc>
        <w:tc>
          <w:tcPr>
            <w:tcW w:w="7255" w:type="dxa"/>
            <w:gridSpan w:val="6"/>
          </w:tcPr>
          <w:p w14:paraId="478038F9" w14:textId="26F3B454" w:rsidR="00823D44" w:rsidRDefault="00F947F7">
            <w:pPr>
              <w:ind w:firstLineChars="200" w:firstLine="480"/>
              <w:rPr>
                <w:sz w:val="24"/>
              </w:rPr>
            </w:pPr>
            <w:r>
              <w:rPr>
                <w:rFonts w:hint="eastAsia"/>
                <w:sz w:val="24"/>
                <w:szCs w:val="24"/>
                <w:lang w:val="en-US"/>
              </w:rPr>
              <w:t>课题经费保障</w:t>
            </w:r>
            <w:r w:rsidR="00747841" w:rsidRPr="00747841">
              <w:rPr>
                <w:rFonts w:hint="eastAsia"/>
                <w:sz w:val="24"/>
                <w:szCs w:val="24"/>
                <w:lang w:val="en-US"/>
              </w:rPr>
              <w:t>（含学会标准管理费用、标准编制过程中因技术交流、调研等发生的差旅费、会议费、审查费、专家咨询费等）。</w:t>
            </w:r>
          </w:p>
        </w:tc>
      </w:tr>
      <w:tr w:rsidR="00823D44" w14:paraId="5D8B53DB" w14:textId="77777777">
        <w:trPr>
          <w:trHeight w:val="834"/>
          <w:jc w:val="center"/>
        </w:trPr>
        <w:tc>
          <w:tcPr>
            <w:tcW w:w="1980" w:type="dxa"/>
            <w:vAlign w:val="center"/>
          </w:tcPr>
          <w:p w14:paraId="0679EDCA" w14:textId="77777777" w:rsidR="00823D44" w:rsidRDefault="00F947F7">
            <w:pPr>
              <w:widowControl/>
              <w:jc w:val="center"/>
              <w:rPr>
                <w:rFonts w:ascii="宋体" w:hAnsi="宋体"/>
                <w:sz w:val="24"/>
              </w:rPr>
            </w:pPr>
            <w:r>
              <w:rPr>
                <w:rFonts w:ascii="宋体" w:hAnsi="宋体" w:hint="eastAsia"/>
                <w:sz w:val="24"/>
              </w:rPr>
              <w:t>技术基础及</w:t>
            </w:r>
          </w:p>
          <w:p w14:paraId="0EA4183B" w14:textId="77777777" w:rsidR="00823D44" w:rsidRDefault="00F947F7">
            <w:pPr>
              <w:widowControl/>
              <w:jc w:val="center"/>
              <w:rPr>
                <w:rFonts w:ascii="宋体" w:hAnsi="宋体"/>
                <w:sz w:val="24"/>
              </w:rPr>
            </w:pPr>
            <w:r>
              <w:rPr>
                <w:rFonts w:ascii="宋体" w:hAnsi="宋体" w:hint="eastAsia"/>
                <w:sz w:val="24"/>
              </w:rPr>
              <w:t>研究团队</w:t>
            </w:r>
          </w:p>
        </w:tc>
        <w:tc>
          <w:tcPr>
            <w:tcW w:w="7255" w:type="dxa"/>
            <w:gridSpan w:val="6"/>
          </w:tcPr>
          <w:p w14:paraId="325B2751" w14:textId="59A689D5" w:rsidR="00823D44" w:rsidRDefault="007C414D">
            <w:pPr>
              <w:ind w:firstLineChars="200" w:firstLine="480"/>
              <w:rPr>
                <w:sz w:val="24"/>
                <w:szCs w:val="24"/>
                <w:lang w:val="en-US"/>
              </w:rPr>
            </w:pPr>
            <w:r>
              <w:rPr>
                <w:rFonts w:hint="eastAsia"/>
                <w:sz w:val="24"/>
                <w:szCs w:val="24"/>
                <w:lang w:val="en-US"/>
              </w:rPr>
              <w:t>技术基础：</w:t>
            </w:r>
            <w:r w:rsidR="00F947F7">
              <w:rPr>
                <w:rFonts w:hint="eastAsia"/>
                <w:sz w:val="24"/>
                <w:szCs w:val="24"/>
                <w:lang w:val="en-US"/>
              </w:rPr>
              <w:t>依托《制造企业数字化转型</w:t>
            </w:r>
            <w:r w:rsidR="00747841">
              <w:rPr>
                <w:rFonts w:hint="eastAsia"/>
                <w:sz w:val="24"/>
                <w:szCs w:val="24"/>
                <w:lang w:val="en-US"/>
              </w:rPr>
              <w:t>评估</w:t>
            </w:r>
            <w:r w:rsidR="00F947F7">
              <w:rPr>
                <w:rFonts w:hint="eastAsia"/>
                <w:sz w:val="24"/>
                <w:szCs w:val="24"/>
                <w:lang w:val="en-US"/>
              </w:rPr>
              <w:t>体系的构建与应用》理论框架，结合船舶行业特性优化指标。</w:t>
            </w:r>
          </w:p>
          <w:p w14:paraId="6E001621" w14:textId="77777777" w:rsidR="00823D44" w:rsidRDefault="00F947F7">
            <w:pPr>
              <w:ind w:firstLineChars="200" w:firstLine="480"/>
              <w:rPr>
                <w:sz w:val="24"/>
                <w:szCs w:val="24"/>
                <w:lang w:val="en-US"/>
              </w:rPr>
            </w:pPr>
            <w:r>
              <w:rPr>
                <w:rFonts w:hint="eastAsia"/>
                <w:sz w:val="24"/>
                <w:szCs w:val="24"/>
                <w:lang w:val="en-US"/>
              </w:rPr>
              <w:t>牵头单位：中国船舶集团有限公司第七一六研究所。</w:t>
            </w:r>
          </w:p>
          <w:p w14:paraId="145DE9AD" w14:textId="77777777" w:rsidR="00823D44" w:rsidRDefault="00F947F7">
            <w:pPr>
              <w:ind w:firstLineChars="200" w:firstLine="480"/>
              <w:rPr>
                <w:sz w:val="24"/>
                <w:szCs w:val="24"/>
                <w:lang w:val="en-US"/>
              </w:rPr>
            </w:pPr>
            <w:r>
              <w:rPr>
                <w:rFonts w:hint="eastAsia"/>
                <w:sz w:val="24"/>
                <w:szCs w:val="24"/>
                <w:lang w:val="en-US"/>
              </w:rPr>
              <w:t>协作单位：中国船舶集团有限公司综合技术经济研究院、上海交通大学、上海外高桥造船有限公司、中远海运重工有限公司、江南造船厂、广船国际造船厂、沪东中华造船集团有限公司、招商局邮轮制造有限公司、江苏科技大学、中国矿业大学。</w:t>
            </w:r>
          </w:p>
          <w:p w14:paraId="71DA44B9" w14:textId="77777777" w:rsidR="00823D44" w:rsidRDefault="00F947F7" w:rsidP="00F53035">
            <w:pPr>
              <w:ind w:firstLineChars="200" w:firstLine="480"/>
              <w:rPr>
                <w:sz w:val="24"/>
              </w:rPr>
            </w:pPr>
            <w:r>
              <w:rPr>
                <w:rFonts w:hint="eastAsia"/>
                <w:sz w:val="24"/>
                <w:szCs w:val="24"/>
                <w:lang w:val="en-US"/>
              </w:rPr>
              <w:t>专家组：涵盖船舶设计、智能制造、标准化领域权威学者及企业技术负责人。</w:t>
            </w:r>
          </w:p>
        </w:tc>
      </w:tr>
      <w:tr w:rsidR="00823D44" w14:paraId="7F3201DA" w14:textId="77777777">
        <w:trPr>
          <w:trHeight w:val="944"/>
          <w:jc w:val="center"/>
        </w:trPr>
        <w:tc>
          <w:tcPr>
            <w:tcW w:w="1980" w:type="dxa"/>
            <w:vAlign w:val="center"/>
          </w:tcPr>
          <w:p w14:paraId="451CF311" w14:textId="77777777" w:rsidR="00823D44" w:rsidRDefault="00F947F7">
            <w:pPr>
              <w:jc w:val="center"/>
              <w:rPr>
                <w:rFonts w:ascii="宋体" w:hAnsi="宋体"/>
                <w:sz w:val="24"/>
              </w:rPr>
            </w:pPr>
            <w:r>
              <w:rPr>
                <w:rFonts w:ascii="宋体" w:hAnsi="宋体" w:hint="eastAsia"/>
                <w:sz w:val="24"/>
              </w:rPr>
              <w:t>申请立项单位</w:t>
            </w:r>
          </w:p>
          <w:p w14:paraId="02A5AC58" w14:textId="77777777" w:rsidR="00823D44" w:rsidRDefault="00F947F7">
            <w:pPr>
              <w:jc w:val="center"/>
              <w:rPr>
                <w:rFonts w:ascii="宋体" w:hAnsi="宋体"/>
                <w:sz w:val="24"/>
              </w:rPr>
            </w:pPr>
            <w:r>
              <w:rPr>
                <w:rFonts w:ascii="宋体" w:hAnsi="宋体" w:hint="eastAsia"/>
                <w:sz w:val="24"/>
              </w:rPr>
              <w:t>意见</w:t>
            </w:r>
          </w:p>
        </w:tc>
        <w:tc>
          <w:tcPr>
            <w:tcW w:w="7255" w:type="dxa"/>
            <w:gridSpan w:val="6"/>
            <w:vAlign w:val="bottom"/>
          </w:tcPr>
          <w:p w14:paraId="28D1654A" w14:textId="77777777" w:rsidR="00823D44" w:rsidRDefault="00F947F7">
            <w:pPr>
              <w:wordWrap w:val="0"/>
              <w:jc w:val="right"/>
              <w:rPr>
                <w:sz w:val="24"/>
              </w:rPr>
            </w:pPr>
            <w:r>
              <w:rPr>
                <w:rFonts w:hint="eastAsia"/>
                <w:sz w:val="24"/>
              </w:rPr>
              <w:t xml:space="preserve">（盖章）                                          </w:t>
            </w:r>
          </w:p>
          <w:p w14:paraId="0427A001" w14:textId="77777777" w:rsidR="00823D44" w:rsidRDefault="00F947F7">
            <w:pPr>
              <w:jc w:val="right"/>
              <w:rPr>
                <w:rFonts w:ascii="黑体" w:eastAsia="黑体" w:hAnsi="宋体"/>
                <w:color w:val="000000"/>
                <w:sz w:val="24"/>
              </w:rPr>
            </w:pPr>
            <w:r>
              <w:rPr>
                <w:rFonts w:hint="eastAsia"/>
                <w:sz w:val="24"/>
              </w:rPr>
              <w:t>年   月   日</w:t>
            </w:r>
          </w:p>
        </w:tc>
      </w:tr>
      <w:tr w:rsidR="00823D44" w14:paraId="598CFCF9" w14:textId="77777777">
        <w:trPr>
          <w:trHeight w:val="1890"/>
          <w:jc w:val="center"/>
        </w:trPr>
        <w:tc>
          <w:tcPr>
            <w:tcW w:w="1980" w:type="dxa"/>
            <w:vAlign w:val="center"/>
          </w:tcPr>
          <w:p w14:paraId="3C7E10F1" w14:textId="77777777" w:rsidR="00823D44" w:rsidRDefault="00F947F7">
            <w:pPr>
              <w:jc w:val="center"/>
              <w:rPr>
                <w:sz w:val="24"/>
              </w:rPr>
            </w:pPr>
            <w:r>
              <w:rPr>
                <w:rFonts w:hint="eastAsia"/>
                <w:sz w:val="24"/>
              </w:rPr>
              <w:t>标准化学术</w:t>
            </w:r>
          </w:p>
          <w:p w14:paraId="4B5CB40F" w14:textId="77777777" w:rsidR="00823D44" w:rsidRDefault="00F947F7">
            <w:pPr>
              <w:jc w:val="center"/>
              <w:rPr>
                <w:sz w:val="24"/>
              </w:rPr>
            </w:pPr>
            <w:r>
              <w:rPr>
                <w:rFonts w:hint="eastAsia"/>
                <w:sz w:val="24"/>
              </w:rPr>
              <w:t>委员会意见</w:t>
            </w:r>
          </w:p>
        </w:tc>
        <w:tc>
          <w:tcPr>
            <w:tcW w:w="2596" w:type="dxa"/>
            <w:gridSpan w:val="2"/>
            <w:vAlign w:val="bottom"/>
          </w:tcPr>
          <w:p w14:paraId="3E747A5E" w14:textId="77777777" w:rsidR="00823D44" w:rsidRDefault="00F947F7">
            <w:pPr>
              <w:wordWrap w:val="0"/>
              <w:jc w:val="right"/>
              <w:rPr>
                <w:sz w:val="24"/>
              </w:rPr>
            </w:pPr>
            <w:r>
              <w:rPr>
                <w:rFonts w:hint="eastAsia"/>
                <w:sz w:val="24"/>
              </w:rPr>
              <w:t xml:space="preserve">（签名、盖章）     </w:t>
            </w:r>
          </w:p>
          <w:p w14:paraId="1587369A" w14:textId="77777777" w:rsidR="00823D44" w:rsidRDefault="00823D44">
            <w:pPr>
              <w:jc w:val="right"/>
              <w:rPr>
                <w:sz w:val="24"/>
              </w:rPr>
            </w:pPr>
          </w:p>
          <w:p w14:paraId="7F466C3C" w14:textId="77777777" w:rsidR="00823D44" w:rsidRDefault="00823D44">
            <w:pPr>
              <w:jc w:val="right"/>
              <w:rPr>
                <w:sz w:val="24"/>
              </w:rPr>
            </w:pPr>
          </w:p>
          <w:p w14:paraId="4BB34623" w14:textId="77777777" w:rsidR="00823D44" w:rsidRDefault="00F947F7">
            <w:pPr>
              <w:jc w:val="right"/>
              <w:rPr>
                <w:sz w:val="24"/>
              </w:rPr>
            </w:pPr>
            <w:r>
              <w:rPr>
                <w:rFonts w:hint="eastAsia"/>
                <w:sz w:val="24"/>
              </w:rPr>
              <w:t>年   月   日</w:t>
            </w:r>
          </w:p>
        </w:tc>
        <w:tc>
          <w:tcPr>
            <w:tcW w:w="1985" w:type="dxa"/>
            <w:gridSpan w:val="3"/>
            <w:vAlign w:val="center"/>
          </w:tcPr>
          <w:p w14:paraId="37968ECC" w14:textId="77777777" w:rsidR="00823D44" w:rsidRDefault="00F947F7">
            <w:pPr>
              <w:jc w:val="center"/>
              <w:rPr>
                <w:sz w:val="24"/>
              </w:rPr>
            </w:pPr>
            <w:r>
              <w:rPr>
                <w:rFonts w:hint="eastAsia"/>
                <w:sz w:val="24"/>
              </w:rPr>
              <w:t>中国造船工程</w:t>
            </w:r>
          </w:p>
          <w:p w14:paraId="25F0F909" w14:textId="77777777" w:rsidR="00823D44" w:rsidRDefault="00F947F7">
            <w:pPr>
              <w:jc w:val="center"/>
              <w:rPr>
                <w:sz w:val="24"/>
              </w:rPr>
            </w:pPr>
            <w:r>
              <w:rPr>
                <w:rFonts w:hint="eastAsia"/>
                <w:sz w:val="24"/>
              </w:rPr>
              <w:t>学会意见</w:t>
            </w:r>
          </w:p>
        </w:tc>
        <w:tc>
          <w:tcPr>
            <w:tcW w:w="2674" w:type="dxa"/>
            <w:vAlign w:val="bottom"/>
          </w:tcPr>
          <w:p w14:paraId="288E8857" w14:textId="77777777" w:rsidR="00823D44" w:rsidRDefault="00F947F7">
            <w:pPr>
              <w:wordWrap w:val="0"/>
              <w:jc w:val="right"/>
              <w:rPr>
                <w:sz w:val="24"/>
              </w:rPr>
            </w:pPr>
            <w:r>
              <w:rPr>
                <w:rFonts w:hint="eastAsia"/>
                <w:sz w:val="24"/>
              </w:rPr>
              <w:t xml:space="preserve">（签名、盖章）             </w:t>
            </w:r>
          </w:p>
          <w:p w14:paraId="7F1142AD" w14:textId="77777777" w:rsidR="00823D44" w:rsidRDefault="00823D44">
            <w:pPr>
              <w:jc w:val="right"/>
              <w:rPr>
                <w:sz w:val="24"/>
              </w:rPr>
            </w:pPr>
          </w:p>
          <w:p w14:paraId="5437D537" w14:textId="77777777" w:rsidR="00823D44" w:rsidRDefault="00823D44">
            <w:pPr>
              <w:jc w:val="right"/>
              <w:rPr>
                <w:sz w:val="24"/>
              </w:rPr>
            </w:pPr>
          </w:p>
          <w:p w14:paraId="7CFB8E3F" w14:textId="77777777" w:rsidR="00823D44" w:rsidRDefault="00F947F7">
            <w:pPr>
              <w:jc w:val="right"/>
              <w:rPr>
                <w:sz w:val="24"/>
              </w:rPr>
            </w:pPr>
            <w:r>
              <w:rPr>
                <w:rFonts w:hint="eastAsia"/>
                <w:sz w:val="24"/>
              </w:rPr>
              <w:t>年   月   日</w:t>
            </w:r>
          </w:p>
        </w:tc>
      </w:tr>
    </w:tbl>
    <w:p w14:paraId="10D1C07D" w14:textId="77777777" w:rsidR="00823D44" w:rsidRDefault="00F947F7">
      <w:pPr>
        <w:jc w:val="left"/>
        <w:rPr>
          <w:rFonts w:ascii="仿宋_GB2312" w:eastAsia="仿宋_GB2312"/>
          <w:sz w:val="24"/>
        </w:rPr>
      </w:pPr>
      <w:r>
        <w:rPr>
          <w:rFonts w:hAnsiTheme="minorEastAsia" w:hint="eastAsia"/>
        </w:rPr>
        <w:t>注：如本表空间不够，可另附页。</w:t>
      </w:r>
    </w:p>
    <w:sectPr w:rsidR="00823D4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09681C" w14:textId="77777777" w:rsidR="003D26CB" w:rsidRDefault="003D26CB" w:rsidP="00280A5F">
      <w:r>
        <w:separator/>
      </w:r>
    </w:p>
  </w:endnote>
  <w:endnote w:type="continuationSeparator" w:id="0">
    <w:p w14:paraId="69D77EBB" w14:textId="77777777" w:rsidR="003D26CB" w:rsidRDefault="003D26CB" w:rsidP="00280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Segoe UI">
    <w:panose1 w:val="020B0502040204020203"/>
    <w:charset w:val="00"/>
    <w:family w:val="swiss"/>
    <w:pitch w:val="variable"/>
    <w:sig w:usb0="E10022FF" w:usb1="C000E47F" w:usb2="00000029" w:usb3="00000000" w:csb0="000001DF" w:csb1="00000000"/>
  </w:font>
  <w:font w:name="仿宋_GB2312">
    <w:altName w:val="仿宋"/>
    <w:charset w:val="86"/>
    <w:family w:val="modern"/>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F163F8" w14:textId="77777777" w:rsidR="003D26CB" w:rsidRDefault="003D26CB" w:rsidP="00280A5F">
      <w:r>
        <w:separator/>
      </w:r>
    </w:p>
  </w:footnote>
  <w:footnote w:type="continuationSeparator" w:id="0">
    <w:p w14:paraId="1CD82D0E" w14:textId="77777777" w:rsidR="003D26CB" w:rsidRDefault="003D26CB" w:rsidP="00280A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MmE3NGM4NmY1MTk1MDk2NTNiMjc3M2IzNDk5N2FhNDYifQ=="/>
  </w:docVars>
  <w:rsids>
    <w:rsidRoot w:val="00EB3B78"/>
    <w:rsid w:val="000C5DFA"/>
    <w:rsid w:val="000F6F2E"/>
    <w:rsid w:val="001510F7"/>
    <w:rsid w:val="0015191A"/>
    <w:rsid w:val="001604E9"/>
    <w:rsid w:val="0019236C"/>
    <w:rsid w:val="00227DC7"/>
    <w:rsid w:val="00280A5F"/>
    <w:rsid w:val="003D26CB"/>
    <w:rsid w:val="004B3B5D"/>
    <w:rsid w:val="004C5964"/>
    <w:rsid w:val="005029A1"/>
    <w:rsid w:val="005526F9"/>
    <w:rsid w:val="005C048B"/>
    <w:rsid w:val="005D128B"/>
    <w:rsid w:val="005E7D40"/>
    <w:rsid w:val="00606BB2"/>
    <w:rsid w:val="006F0669"/>
    <w:rsid w:val="00744BFB"/>
    <w:rsid w:val="00747841"/>
    <w:rsid w:val="00747D55"/>
    <w:rsid w:val="00762B6A"/>
    <w:rsid w:val="00790E69"/>
    <w:rsid w:val="007B16F2"/>
    <w:rsid w:val="007C414D"/>
    <w:rsid w:val="007E50D3"/>
    <w:rsid w:val="008140E9"/>
    <w:rsid w:val="00823D44"/>
    <w:rsid w:val="00837D5D"/>
    <w:rsid w:val="008608DB"/>
    <w:rsid w:val="008D3676"/>
    <w:rsid w:val="00915110"/>
    <w:rsid w:val="009A193C"/>
    <w:rsid w:val="009D7D01"/>
    <w:rsid w:val="00A338EB"/>
    <w:rsid w:val="00B179E9"/>
    <w:rsid w:val="00B439F8"/>
    <w:rsid w:val="00B826ED"/>
    <w:rsid w:val="00B85469"/>
    <w:rsid w:val="00BF19B3"/>
    <w:rsid w:val="00BF6D5E"/>
    <w:rsid w:val="00C3423D"/>
    <w:rsid w:val="00CC23B7"/>
    <w:rsid w:val="00D1722E"/>
    <w:rsid w:val="00DF092C"/>
    <w:rsid w:val="00DF354F"/>
    <w:rsid w:val="00E077C1"/>
    <w:rsid w:val="00E32311"/>
    <w:rsid w:val="00E545EB"/>
    <w:rsid w:val="00EB3B78"/>
    <w:rsid w:val="00F53035"/>
    <w:rsid w:val="00F631D5"/>
    <w:rsid w:val="00F947F7"/>
    <w:rsid w:val="01D6556A"/>
    <w:rsid w:val="12A43779"/>
    <w:rsid w:val="2C685554"/>
    <w:rsid w:val="3757620D"/>
    <w:rsid w:val="3D1B1246"/>
    <w:rsid w:val="56795BEC"/>
    <w:rsid w:val="5C367644"/>
    <w:rsid w:val="6E6D1C3D"/>
    <w:rsid w:val="749833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B87041"/>
  <w15:docId w15:val="{F1C0BD19-B8B8-4A72-88C4-3A964410A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EastAsia" w:eastAsiaTheme="minorEastAsia" w:hAnsiTheme="minorHAnsi"/>
      <w:snapToGrid w:val="0"/>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rPr>
      <w:b/>
      <w:bCs/>
    </w:rPr>
  </w:style>
  <w:style w:type="character" w:styleId="ad">
    <w:name w:val="annotation reference"/>
    <w:basedOn w:val="a0"/>
    <w:uiPriority w:val="99"/>
    <w:semiHidden/>
    <w:unhideWhenUsed/>
    <w:qFormat/>
    <w:rPr>
      <w:sz w:val="21"/>
      <w:szCs w:val="21"/>
    </w:rPr>
  </w:style>
  <w:style w:type="paragraph" w:styleId="ae">
    <w:name w:val="List Paragraph"/>
    <w:basedOn w:val="a"/>
    <w:uiPriority w:val="34"/>
    <w:qFormat/>
    <w:pPr>
      <w:ind w:firstLineChars="200" w:firstLine="420"/>
    </w:pPr>
  </w:style>
  <w:style w:type="character" w:customStyle="1" w:styleId="aa">
    <w:name w:val="页眉 字符"/>
    <w:basedOn w:val="a0"/>
    <w:link w:val="a9"/>
    <w:uiPriority w:val="99"/>
    <w:rPr>
      <w:rFonts w:asciiTheme="minorEastAsia" w:cs="Times New Roman"/>
      <w:snapToGrid w:val="0"/>
      <w:sz w:val="18"/>
      <w:szCs w:val="18"/>
      <w:lang w:val="en-GB"/>
    </w:rPr>
  </w:style>
  <w:style w:type="character" w:customStyle="1" w:styleId="a8">
    <w:name w:val="页脚 字符"/>
    <w:basedOn w:val="a0"/>
    <w:link w:val="a7"/>
    <w:uiPriority w:val="99"/>
    <w:qFormat/>
    <w:rPr>
      <w:rFonts w:asciiTheme="minorEastAsia" w:cs="Times New Roman"/>
      <w:snapToGrid w:val="0"/>
      <w:sz w:val="18"/>
      <w:szCs w:val="18"/>
      <w:lang w:val="en-GB"/>
    </w:rPr>
  </w:style>
  <w:style w:type="character" w:customStyle="1" w:styleId="a4">
    <w:name w:val="批注文字 字符"/>
    <w:basedOn w:val="a0"/>
    <w:link w:val="a3"/>
    <w:uiPriority w:val="99"/>
    <w:semiHidden/>
    <w:rPr>
      <w:rFonts w:asciiTheme="minorEastAsia" w:cs="Times New Roman"/>
      <w:snapToGrid w:val="0"/>
      <w:sz w:val="21"/>
      <w:szCs w:val="21"/>
      <w:lang w:val="en-GB"/>
    </w:rPr>
  </w:style>
  <w:style w:type="character" w:customStyle="1" w:styleId="ac">
    <w:name w:val="批注主题 字符"/>
    <w:basedOn w:val="a4"/>
    <w:link w:val="ab"/>
    <w:uiPriority w:val="99"/>
    <w:semiHidden/>
    <w:qFormat/>
    <w:rPr>
      <w:rFonts w:asciiTheme="minorEastAsia" w:cs="Times New Roman"/>
      <w:b/>
      <w:bCs/>
      <w:snapToGrid w:val="0"/>
      <w:sz w:val="21"/>
      <w:szCs w:val="21"/>
      <w:lang w:val="en-GB"/>
    </w:rPr>
  </w:style>
  <w:style w:type="character" w:customStyle="1" w:styleId="a6">
    <w:name w:val="批注框文本 字符"/>
    <w:basedOn w:val="a0"/>
    <w:link w:val="a5"/>
    <w:uiPriority w:val="99"/>
    <w:semiHidden/>
    <w:qFormat/>
    <w:rPr>
      <w:rFonts w:asciiTheme="minorEastAsia" w:cs="Times New Roman"/>
      <w:snapToGrid w:val="0"/>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AAE415-A827-4983-B02F-FFB73B57C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406</Words>
  <Characters>2316</Characters>
  <Application>Microsoft Office Word</Application>
  <DocSecurity>0</DocSecurity>
  <Lines>19</Lines>
  <Paragraphs>5</Paragraphs>
  <ScaleCrop>false</ScaleCrop>
  <Company>Microsoft</Company>
  <LinksUpToDate>false</LinksUpToDate>
  <CharactersWithSpaces>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biaoyan</cp:lastModifiedBy>
  <cp:revision>50</cp:revision>
  <dcterms:created xsi:type="dcterms:W3CDTF">2022-08-15T06:27:00Z</dcterms:created>
  <dcterms:modified xsi:type="dcterms:W3CDTF">2025-03-24T01:25:00Z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2052-11.8.2.12011</vt:lpwstr>
  </property>
  <property fmtid="{D5CDD505-2E9C-101B-9397-08002B2CF9AE}" pid="3" name="ICV">
    <vt:lpwstr>0A99FF815B694A5EA2DF4C6F1DFF22E9</vt:lpwstr>
  </property>
</Properties>
</file>