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5A6FE" w14:textId="77777777" w:rsidR="003650DE" w:rsidRDefault="003F0786">
      <w:pPr>
        <w:spacing w:line="360" w:lineRule="auto"/>
        <w:jc w:val="left"/>
        <w:rPr>
          <w:rFonts w:ascii="黑体" w:eastAsia="黑体" w:hAnsi="华文细黑"/>
          <w:sz w:val="24"/>
          <w:szCs w:val="24"/>
        </w:rPr>
      </w:pPr>
      <w:r>
        <w:rPr>
          <w:rFonts w:ascii="黑体" w:eastAsia="黑体" w:hAnsi="黑体" w:hint="eastAsia"/>
          <w:sz w:val="24"/>
          <w:szCs w:val="24"/>
        </w:rPr>
        <w:t>附件</w:t>
      </w:r>
      <w:r>
        <w:rPr>
          <w:rFonts w:ascii="黑体" w:eastAsia="黑体" w:hAnsi="黑体" w:hint="eastAsia"/>
          <w:sz w:val="24"/>
          <w:szCs w:val="24"/>
        </w:rPr>
        <w:t>1</w:t>
      </w:r>
    </w:p>
    <w:p w14:paraId="36341C9D" w14:textId="77777777" w:rsidR="003650DE" w:rsidRDefault="003F0786">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3650DE" w14:paraId="2D1508F4" w14:textId="7777777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A91AC" w14:textId="77777777" w:rsidR="003650DE" w:rsidRDefault="003F0786">
            <w:pPr>
              <w:jc w:val="center"/>
              <w:rPr>
                <w:sz w:val="24"/>
                <w:szCs w:val="24"/>
              </w:rPr>
            </w:pPr>
            <w:r>
              <w:rPr>
                <w:rFonts w:ascii="宋体" w:hAnsi="宋体" w:hint="eastAsia"/>
                <w:sz w:val="24"/>
                <w:szCs w:val="24"/>
              </w:rPr>
              <w:t>项目名称</w:t>
            </w:r>
          </w:p>
          <w:p w14:paraId="49F336C5" w14:textId="77777777" w:rsidR="003650DE" w:rsidRDefault="003F0786">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128901C1" w14:textId="39C53A2E" w:rsidR="003650DE" w:rsidRDefault="004763E5">
            <w:pPr>
              <w:jc w:val="center"/>
              <w:rPr>
                <w:sz w:val="24"/>
                <w:szCs w:val="24"/>
              </w:rPr>
            </w:pPr>
            <w:bookmarkStart w:id="0" w:name="OLE_LINK10"/>
            <w:bookmarkStart w:id="1" w:name="OLE_LINK11"/>
            <w:bookmarkStart w:id="2" w:name="OLE_LINK13"/>
            <w:bookmarkStart w:id="3" w:name="OLE_LINK12"/>
            <w:bookmarkStart w:id="4" w:name="_GoBack"/>
            <w:bookmarkEnd w:id="4"/>
            <w:r>
              <w:rPr>
                <w:rFonts w:hint="eastAsia"/>
                <w:sz w:val="24"/>
                <w:szCs w:val="24"/>
              </w:rPr>
              <w:t>VLCC</w:t>
            </w:r>
            <w:r w:rsidR="003F0786" w:rsidRPr="00DB3EE3">
              <w:rPr>
                <w:rFonts w:hint="eastAsia"/>
                <w:sz w:val="24"/>
                <w:szCs w:val="24"/>
              </w:rPr>
              <w:t>甲醇燃料车载储罐式加注规程</w:t>
            </w:r>
            <w:bookmarkEnd w:id="0"/>
            <w:bookmarkEnd w:id="1"/>
            <w:bookmarkEnd w:id="2"/>
            <w:bookmarkEnd w:id="3"/>
          </w:p>
        </w:tc>
      </w:tr>
      <w:tr w:rsidR="003650DE" w14:paraId="2C2216DC" w14:textId="7777777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1B054931" w14:textId="77777777" w:rsidR="003650DE" w:rsidRDefault="003F0786">
            <w:pPr>
              <w:jc w:val="center"/>
              <w:rPr>
                <w:sz w:val="24"/>
                <w:szCs w:val="24"/>
              </w:rPr>
            </w:pPr>
            <w:r>
              <w:rPr>
                <w:rFonts w:ascii="宋体" w:hAnsi="宋体" w:hint="eastAsia"/>
                <w:sz w:val="24"/>
                <w:szCs w:val="24"/>
              </w:rPr>
              <w:t>项目名称</w:t>
            </w:r>
          </w:p>
          <w:p w14:paraId="34D59A65" w14:textId="77777777" w:rsidR="003650DE" w:rsidRDefault="003F0786">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190D403" w14:textId="77777777" w:rsidR="003650DE" w:rsidRPr="00DB3EE3" w:rsidRDefault="003F0786">
            <w:pPr>
              <w:jc w:val="center"/>
              <w:rPr>
                <w:sz w:val="24"/>
                <w:szCs w:val="24"/>
              </w:rPr>
            </w:pPr>
            <w:r w:rsidRPr="00DB3EE3">
              <w:rPr>
                <w:sz w:val="24"/>
                <w:szCs w:val="24"/>
              </w:rPr>
              <w:t>Code of Practice on Bunkering of Methanol Fuel via Vehicle Storage Tank</w:t>
            </w:r>
          </w:p>
        </w:tc>
      </w:tr>
      <w:tr w:rsidR="003650DE" w14:paraId="69014AF0" w14:textId="7777777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32D3D05D" w14:textId="77777777" w:rsidR="003650DE" w:rsidRDefault="003F0786">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14:paraId="02ED47FC" w14:textId="77777777" w:rsidR="003650DE" w:rsidRDefault="003F0786">
            <w:pPr>
              <w:jc w:val="center"/>
              <w:rPr>
                <w:sz w:val="24"/>
                <w:szCs w:val="24"/>
              </w:rPr>
            </w:pPr>
            <w:r>
              <w:rPr>
                <w:rFonts w:ascii="宋体" w:hAnsi="宋体" w:hint="eastAsia"/>
                <w:sz w:val="24"/>
                <w:szCs w:val="24"/>
              </w:rPr>
              <w:t>■制定</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63EF2F40" w14:textId="77777777" w:rsidR="003650DE" w:rsidRDefault="003F0786">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9F4A23F" w14:textId="2516A115" w:rsidR="003650DE" w:rsidRDefault="00E71B54" w:rsidP="00E71B54">
            <w:pPr>
              <w:jc w:val="center"/>
              <w:rPr>
                <w:sz w:val="24"/>
                <w:szCs w:val="24"/>
              </w:rPr>
            </w:pPr>
            <w:r>
              <w:rPr>
                <w:rFonts w:cs="Calibri" w:hint="eastAsia"/>
                <w:sz w:val="24"/>
                <w:szCs w:val="24"/>
              </w:rPr>
              <w:t>/</w:t>
            </w:r>
          </w:p>
        </w:tc>
      </w:tr>
      <w:tr w:rsidR="003650DE" w14:paraId="5E0BDD62" w14:textId="7777777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71A4C349" w14:textId="77777777" w:rsidR="003650DE" w:rsidRDefault="003F0786">
            <w:pPr>
              <w:jc w:val="center"/>
              <w:rPr>
                <w:sz w:val="24"/>
                <w:szCs w:val="24"/>
              </w:rPr>
            </w:pPr>
            <w:r>
              <w:rPr>
                <w:rFonts w:hint="eastAsia"/>
                <w:sz w:val="24"/>
                <w:szCs w:val="24"/>
              </w:rPr>
              <w:t>被修订标准名称</w:t>
            </w:r>
          </w:p>
        </w:tc>
        <w:tc>
          <w:tcPr>
            <w:tcW w:w="2126" w:type="dxa"/>
            <w:tcBorders>
              <w:top w:val="single" w:sz="4" w:space="0" w:color="auto"/>
              <w:left w:val="single" w:sz="4" w:space="0" w:color="auto"/>
              <w:bottom w:val="single" w:sz="4" w:space="0" w:color="auto"/>
              <w:right w:val="single" w:sz="4" w:space="0" w:color="auto"/>
            </w:tcBorders>
            <w:vAlign w:val="center"/>
          </w:tcPr>
          <w:p w14:paraId="58E4A926" w14:textId="00B118F2" w:rsidR="003650DE" w:rsidRDefault="00E71B54">
            <w:pPr>
              <w:jc w:val="center"/>
              <w:rPr>
                <w:rFonts w:hAnsi="宋体"/>
                <w:sz w:val="24"/>
                <w:szCs w:val="24"/>
              </w:rPr>
            </w:pPr>
            <w:r>
              <w:rPr>
                <w:rFonts w:hAnsi="宋体" w:hint="eastAsia"/>
                <w:sz w:val="24"/>
                <w:szCs w:val="24"/>
              </w:rPr>
              <w:t>/</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573A0AB8" w14:textId="77777777" w:rsidR="003650DE" w:rsidRDefault="003F0786">
            <w:pPr>
              <w:jc w:val="center"/>
              <w:rPr>
                <w:sz w:val="24"/>
                <w:szCs w:val="24"/>
              </w:rPr>
            </w:pPr>
            <w:r>
              <w:rPr>
                <w:rFonts w:ascii="宋体" w:hAnsi="宋体" w:hint="eastAsia"/>
                <w:sz w:val="24"/>
                <w:szCs w:val="24"/>
              </w:rPr>
              <w:t>编制周期</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44CF4160" w14:textId="77777777" w:rsidR="003650DE" w:rsidRDefault="003F0786">
            <w:pPr>
              <w:rPr>
                <w:sz w:val="24"/>
                <w:szCs w:val="24"/>
              </w:rPr>
            </w:pPr>
            <w:r>
              <w:rPr>
                <w:rFonts w:ascii="宋体" w:hAnsi="宋体" w:hint="eastAsia"/>
                <w:sz w:val="24"/>
                <w:szCs w:val="24"/>
              </w:rPr>
              <w:t>■</w:t>
            </w:r>
            <w:r>
              <w:rPr>
                <w:rFonts w:cs="Calibri" w:hint="eastAsia"/>
                <w:sz w:val="24"/>
                <w:szCs w:val="24"/>
              </w:rPr>
              <w:t>12</w:t>
            </w:r>
            <w:r>
              <w:rPr>
                <w:rFonts w:ascii="宋体" w:hAnsi="宋体" w:hint="eastAsia"/>
                <w:sz w:val="24"/>
                <w:szCs w:val="24"/>
              </w:rPr>
              <w:t>个月</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w:t>
            </w:r>
            <w:r>
              <w:rPr>
                <w:rFonts w:cs="Calibri" w:hint="eastAsia"/>
                <w:sz w:val="24"/>
                <w:szCs w:val="24"/>
              </w:rPr>
              <w:t>18</w:t>
            </w:r>
            <w:r>
              <w:rPr>
                <w:rFonts w:ascii="宋体" w:hAnsi="宋体" w:hint="eastAsia"/>
                <w:sz w:val="24"/>
                <w:szCs w:val="24"/>
              </w:rPr>
              <w:t>个月</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□其他</w:t>
            </w:r>
            <w:r>
              <w:rPr>
                <w:rFonts w:cs="Calibri"/>
                <w:sz w:val="24"/>
                <w:szCs w:val="24"/>
                <w:u w:val="single"/>
              </w:rPr>
              <w:t xml:space="preserve">         </w:t>
            </w:r>
          </w:p>
        </w:tc>
      </w:tr>
      <w:tr w:rsidR="003650DE" w14:paraId="7AEBC2AF" w14:textId="7777777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BC2E72F" w14:textId="77777777" w:rsidR="003650DE" w:rsidRDefault="003F0786">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F2BB5D6" w14:textId="77777777" w:rsidR="003650DE" w:rsidRDefault="003F0786">
            <w:pPr>
              <w:jc w:val="center"/>
              <w:rPr>
                <w:sz w:val="24"/>
                <w:szCs w:val="24"/>
              </w:rPr>
            </w:pPr>
            <w:r>
              <w:rPr>
                <w:rFonts w:hint="eastAsia"/>
                <w:sz w:val="24"/>
                <w:szCs w:val="24"/>
              </w:rPr>
              <w:t>大连船舶重工集团有限公司</w:t>
            </w:r>
          </w:p>
        </w:tc>
      </w:tr>
      <w:tr w:rsidR="003650DE" w14:paraId="5CF33F49" w14:textId="7777777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41989BCD" w14:textId="77777777" w:rsidR="003650DE" w:rsidRDefault="003F0786">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14:paraId="169DD46D" w14:textId="77777777" w:rsidR="003650DE" w:rsidRDefault="003F0786">
            <w:pPr>
              <w:jc w:val="center"/>
              <w:rPr>
                <w:sz w:val="24"/>
                <w:szCs w:val="24"/>
              </w:rPr>
            </w:pPr>
            <w:r>
              <w:rPr>
                <w:rFonts w:hint="eastAsia"/>
                <w:sz w:val="24"/>
                <w:szCs w:val="24"/>
              </w:rPr>
              <w:t>蓝玉</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FEB21FB" w14:textId="77777777" w:rsidR="003650DE" w:rsidRDefault="003F0786">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3A835F7E" w14:textId="77777777" w:rsidR="003650DE" w:rsidRDefault="003F0786">
            <w:pPr>
              <w:jc w:val="center"/>
              <w:rPr>
                <w:sz w:val="24"/>
                <w:szCs w:val="24"/>
              </w:rPr>
            </w:pPr>
            <w:r>
              <w:rPr>
                <w:rFonts w:hint="eastAsia"/>
                <w:sz w:val="24"/>
                <w:szCs w:val="24"/>
              </w:rPr>
              <w:t>大连市沿海街</w:t>
            </w:r>
            <w:r>
              <w:rPr>
                <w:rFonts w:hint="eastAsia"/>
                <w:sz w:val="24"/>
                <w:szCs w:val="24"/>
              </w:rPr>
              <w:t>1</w:t>
            </w:r>
            <w:r>
              <w:rPr>
                <w:rFonts w:hint="eastAsia"/>
                <w:sz w:val="24"/>
                <w:szCs w:val="24"/>
              </w:rPr>
              <w:t>号</w:t>
            </w:r>
          </w:p>
        </w:tc>
      </w:tr>
      <w:tr w:rsidR="003650DE" w14:paraId="6063664A" w14:textId="7777777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7ACFBD8A" w14:textId="77777777" w:rsidR="003650DE" w:rsidRDefault="003F0786">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14:paraId="0EA7582A" w14:textId="77777777" w:rsidR="003650DE" w:rsidRDefault="003F0786">
            <w:pPr>
              <w:jc w:val="center"/>
              <w:rPr>
                <w:sz w:val="24"/>
                <w:szCs w:val="24"/>
              </w:rPr>
            </w:pPr>
            <w:r>
              <w:rPr>
                <w:rFonts w:hint="eastAsia"/>
                <w:sz w:val="24"/>
                <w:szCs w:val="24"/>
              </w:rPr>
              <w:t>13942818505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EDEEA4" w14:textId="77777777" w:rsidR="003650DE" w:rsidRDefault="003F0786">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76E8E9EF" w14:textId="77777777" w:rsidR="003650DE" w:rsidRDefault="003F0786">
            <w:pPr>
              <w:jc w:val="center"/>
              <w:rPr>
                <w:sz w:val="24"/>
                <w:szCs w:val="24"/>
              </w:rPr>
            </w:pPr>
            <w:r>
              <w:rPr>
                <w:sz w:val="24"/>
                <w:szCs w:val="24"/>
              </w:rPr>
              <w:t>O</w:t>
            </w:r>
            <w:r>
              <w:rPr>
                <w:rFonts w:hint="eastAsia"/>
                <w:sz w:val="24"/>
                <w:szCs w:val="24"/>
              </w:rPr>
              <w:t>utfitting_2@dsic-design.cn</w:t>
            </w:r>
          </w:p>
        </w:tc>
      </w:tr>
      <w:tr w:rsidR="003650DE" w14:paraId="755DF626" w14:textId="7777777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5DF5828" w14:textId="77777777" w:rsidR="003650DE" w:rsidRDefault="003F0786">
            <w:pPr>
              <w:jc w:val="center"/>
              <w:rPr>
                <w:rFonts w:ascii="宋体" w:hAnsi="宋体"/>
                <w:sz w:val="24"/>
                <w:szCs w:val="24"/>
              </w:rPr>
            </w:pPr>
            <w:r>
              <w:rPr>
                <w:rFonts w:ascii="宋体" w:hAnsi="宋体" w:hint="eastAsia"/>
                <w:sz w:val="24"/>
                <w:szCs w:val="24"/>
              </w:rPr>
              <w:t>技术与市场</w:t>
            </w:r>
          </w:p>
          <w:p w14:paraId="41703603" w14:textId="77777777" w:rsidR="003650DE" w:rsidRDefault="003F0786">
            <w:pPr>
              <w:jc w:val="center"/>
              <w:rPr>
                <w:rFonts w:ascii="宋体" w:hAnsi="宋体"/>
                <w:sz w:val="24"/>
                <w:szCs w:val="24"/>
              </w:rPr>
            </w:pPr>
            <w:r>
              <w:rPr>
                <w:rFonts w:ascii="宋体" w:hAnsi="宋体" w:hint="eastAsia"/>
                <w:sz w:val="24"/>
                <w:szCs w:val="24"/>
              </w:rPr>
              <w:t>发展背景</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3254C41" w14:textId="77777777" w:rsidR="003650DE" w:rsidRDefault="003F0786">
            <w:pPr>
              <w:ind w:firstLineChars="200" w:firstLine="480"/>
              <w:rPr>
                <w:sz w:val="24"/>
                <w:szCs w:val="24"/>
              </w:rPr>
            </w:pPr>
            <w:r>
              <w:rPr>
                <w:rFonts w:hint="eastAsia"/>
                <w:sz w:val="24"/>
                <w:szCs w:val="24"/>
              </w:rPr>
              <w:t>甲醇凭借节能、环保、安全等优势，已成为航运业未来新型绿色燃料的重要发展方向，甲醇燃料船登上航运舞台并呈快速发展势头，与</w:t>
            </w:r>
            <w:r>
              <w:rPr>
                <w:rFonts w:hint="eastAsia"/>
                <w:sz w:val="24"/>
                <w:szCs w:val="24"/>
              </w:rPr>
              <w:t>LNG</w:t>
            </w:r>
            <w:r>
              <w:rPr>
                <w:rFonts w:hint="eastAsia"/>
                <w:sz w:val="24"/>
                <w:szCs w:val="24"/>
              </w:rPr>
              <w:t>动力船之间的差距正逐步缩小，</w:t>
            </w:r>
            <w:r>
              <w:rPr>
                <w:rFonts w:hint="eastAsia"/>
                <w:sz w:val="24"/>
                <w:szCs w:val="24"/>
              </w:rPr>
              <w:t>2023</w:t>
            </w:r>
            <w:r>
              <w:rPr>
                <w:rFonts w:hint="eastAsia"/>
                <w:sz w:val="24"/>
                <w:szCs w:val="24"/>
              </w:rPr>
              <w:t>年全球范围内共有</w:t>
            </w:r>
            <w:r>
              <w:rPr>
                <w:rFonts w:hint="eastAsia"/>
                <w:sz w:val="24"/>
                <w:szCs w:val="24"/>
              </w:rPr>
              <w:t>130</w:t>
            </w:r>
            <w:r>
              <w:rPr>
                <w:rFonts w:hint="eastAsia"/>
                <w:sz w:val="24"/>
                <w:szCs w:val="24"/>
              </w:rPr>
              <w:t>艘</w:t>
            </w:r>
            <w:r>
              <w:rPr>
                <w:rFonts w:hint="eastAsia"/>
                <w:sz w:val="24"/>
                <w:szCs w:val="24"/>
              </w:rPr>
              <w:t>1030</w:t>
            </w:r>
            <w:r>
              <w:rPr>
                <w:rFonts w:hint="eastAsia"/>
                <w:sz w:val="24"/>
                <w:szCs w:val="24"/>
              </w:rPr>
              <w:t>万总吨的甲醇燃料动力船订单，约占替代燃料船舶总订单量的</w:t>
            </w:r>
            <w:r>
              <w:rPr>
                <w:rFonts w:hint="eastAsia"/>
                <w:sz w:val="24"/>
                <w:szCs w:val="24"/>
              </w:rPr>
              <w:t>24%</w:t>
            </w:r>
            <w:r>
              <w:rPr>
                <w:rFonts w:hint="eastAsia"/>
                <w:sz w:val="24"/>
                <w:szCs w:val="24"/>
              </w:rPr>
              <w:t>，较</w:t>
            </w:r>
            <w:r>
              <w:rPr>
                <w:rFonts w:hint="eastAsia"/>
                <w:sz w:val="24"/>
                <w:szCs w:val="24"/>
              </w:rPr>
              <w:t>2022</w:t>
            </w:r>
            <w:r>
              <w:rPr>
                <w:rFonts w:hint="eastAsia"/>
                <w:sz w:val="24"/>
                <w:szCs w:val="24"/>
              </w:rPr>
              <w:t>年翻倍增长。</w:t>
            </w:r>
            <w:r>
              <w:rPr>
                <w:rFonts w:hint="eastAsia"/>
                <w:sz w:val="24"/>
                <w:szCs w:val="24"/>
              </w:rPr>
              <w:t>2024</w:t>
            </w:r>
            <w:r>
              <w:rPr>
                <w:rFonts w:hint="eastAsia"/>
                <w:sz w:val="24"/>
                <w:szCs w:val="24"/>
              </w:rPr>
              <w:t>年上半年，甲醇燃料动力船订单量为</w:t>
            </w:r>
            <w:r>
              <w:rPr>
                <w:rFonts w:hint="eastAsia"/>
                <w:sz w:val="24"/>
                <w:szCs w:val="24"/>
              </w:rPr>
              <w:t>49</w:t>
            </w:r>
            <w:r>
              <w:rPr>
                <w:rFonts w:hint="eastAsia"/>
                <w:sz w:val="24"/>
                <w:szCs w:val="24"/>
              </w:rPr>
              <w:t>艘</w:t>
            </w:r>
            <w:r>
              <w:rPr>
                <w:rFonts w:hint="eastAsia"/>
                <w:sz w:val="24"/>
                <w:szCs w:val="24"/>
              </w:rPr>
              <w:t>270</w:t>
            </w:r>
            <w:r>
              <w:rPr>
                <w:rFonts w:hint="eastAsia"/>
                <w:sz w:val="24"/>
                <w:szCs w:val="24"/>
              </w:rPr>
              <w:t>万总吨。</w:t>
            </w:r>
          </w:p>
          <w:p w14:paraId="174BFEA3" w14:textId="77777777" w:rsidR="003650DE" w:rsidRDefault="003F0786">
            <w:pPr>
              <w:ind w:firstLineChars="200" w:firstLine="480"/>
              <w:rPr>
                <w:sz w:val="24"/>
                <w:szCs w:val="24"/>
              </w:rPr>
            </w:pPr>
            <w:r>
              <w:rPr>
                <w:rFonts w:hint="eastAsia"/>
                <w:sz w:val="24"/>
                <w:szCs w:val="24"/>
              </w:rPr>
              <w:t>随着</w:t>
            </w:r>
            <w:proofErr w:type="gramStart"/>
            <w:r>
              <w:rPr>
                <w:rFonts w:hint="eastAsia"/>
                <w:sz w:val="24"/>
                <w:szCs w:val="24"/>
              </w:rPr>
              <w:t>一些列试点</w:t>
            </w:r>
            <w:proofErr w:type="gramEnd"/>
            <w:r>
              <w:rPr>
                <w:rFonts w:hint="eastAsia"/>
                <w:sz w:val="24"/>
                <w:szCs w:val="24"/>
              </w:rPr>
              <w:t>项目和研究的深入，越来越多的航运企业开始布局甲醇动力船，实现了甲醇燃料动力船型多元化的跨越。甲醇燃料集装箱船、甲醇燃料邮轮、甲醇燃料拖船等船型相继涌现，甲醇燃料动力船已成为船舶市场的“香饽饽”。</w:t>
            </w:r>
          </w:p>
        </w:tc>
      </w:tr>
      <w:tr w:rsidR="003650DE" w14:paraId="28781235" w14:textId="77777777">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tcPr>
          <w:p w14:paraId="7CA9D68B" w14:textId="77777777" w:rsidR="003650DE" w:rsidRDefault="003F0786">
            <w:pPr>
              <w:jc w:val="center"/>
              <w:rPr>
                <w:rFonts w:ascii="宋体" w:hAnsi="宋体"/>
                <w:sz w:val="24"/>
                <w:szCs w:val="24"/>
              </w:rPr>
            </w:pPr>
            <w:r>
              <w:rPr>
                <w:rFonts w:ascii="宋体" w:hAnsi="宋体" w:hint="eastAsia"/>
                <w:sz w:val="24"/>
                <w:szCs w:val="24"/>
              </w:rPr>
              <w:t>标准必要性</w:t>
            </w:r>
            <w:proofErr w:type="gramStart"/>
            <w:r>
              <w:rPr>
                <w:rFonts w:ascii="宋体" w:hAnsi="宋体" w:hint="eastAsia"/>
                <w:sz w:val="24"/>
                <w:szCs w:val="24"/>
              </w:rPr>
              <w:t>和</w:t>
            </w:r>
            <w:proofErr w:type="gramEnd"/>
          </w:p>
          <w:p w14:paraId="2E886634" w14:textId="77777777" w:rsidR="003650DE" w:rsidRDefault="003F0786">
            <w:pPr>
              <w:jc w:val="center"/>
              <w:rPr>
                <w:sz w:val="24"/>
                <w:szCs w:val="24"/>
              </w:rPr>
            </w:pPr>
            <w:r>
              <w:rPr>
                <w:rFonts w:ascii="宋体" w:hAnsi="宋体" w:hint="eastAsia"/>
                <w:sz w:val="24"/>
                <w:szCs w:val="24"/>
              </w:rPr>
              <w:t>可行性</w:t>
            </w:r>
          </w:p>
        </w:tc>
        <w:tc>
          <w:tcPr>
            <w:tcW w:w="7210" w:type="dxa"/>
            <w:gridSpan w:val="6"/>
            <w:tcBorders>
              <w:top w:val="single" w:sz="4" w:space="0" w:color="auto"/>
              <w:left w:val="single" w:sz="4" w:space="0" w:color="auto"/>
              <w:bottom w:val="single" w:sz="4" w:space="0" w:color="auto"/>
              <w:right w:val="single" w:sz="4" w:space="0" w:color="auto"/>
            </w:tcBorders>
          </w:tcPr>
          <w:p w14:paraId="41C5A10C" w14:textId="77777777" w:rsidR="003650DE" w:rsidRDefault="003F0786">
            <w:pPr>
              <w:ind w:firstLineChars="200" w:firstLine="480"/>
              <w:rPr>
                <w:sz w:val="24"/>
                <w:szCs w:val="24"/>
              </w:rPr>
            </w:pPr>
            <w:bookmarkStart w:id="5" w:name="OLE_LINK14"/>
            <w:bookmarkStart w:id="6" w:name="OLE_LINK23"/>
            <w:bookmarkStart w:id="7" w:name="OLE_LINK15"/>
            <w:bookmarkStart w:id="8" w:name="OLE_LINK18"/>
            <w:r>
              <w:rPr>
                <w:rFonts w:hint="eastAsia"/>
                <w:sz w:val="24"/>
                <w:szCs w:val="24"/>
              </w:rPr>
              <w:t>甲醇燃料车载储罐式加注规程</w:t>
            </w:r>
            <w:bookmarkEnd w:id="5"/>
            <w:bookmarkEnd w:id="6"/>
            <w:bookmarkEnd w:id="7"/>
            <w:bookmarkEnd w:id="8"/>
            <w:r>
              <w:rPr>
                <w:rFonts w:hint="eastAsia"/>
                <w:sz w:val="24"/>
                <w:szCs w:val="24"/>
              </w:rPr>
              <w:t>是甲醇燃料动力船调试试验的一个重要组成部分，可以使操作人员提前熟悉甲醇燃料动力船采用车载储罐式加注作业程序，掌握应急处理技术，降低安全事故风险。</w:t>
            </w:r>
          </w:p>
          <w:p w14:paraId="7E3DEB48" w14:textId="77777777" w:rsidR="003650DE" w:rsidRDefault="003F0786">
            <w:pPr>
              <w:ind w:firstLineChars="200" w:firstLine="480"/>
              <w:rPr>
                <w:sz w:val="24"/>
                <w:szCs w:val="24"/>
              </w:rPr>
            </w:pPr>
            <w:r>
              <w:rPr>
                <w:rFonts w:hint="eastAsia"/>
                <w:sz w:val="24"/>
                <w:szCs w:val="24"/>
              </w:rPr>
              <w:t>研制并编写</w:t>
            </w:r>
            <w:r w:rsidRPr="00E71B54">
              <w:rPr>
                <w:rFonts w:hint="eastAsia"/>
                <w:sz w:val="24"/>
                <w:szCs w:val="24"/>
              </w:rPr>
              <w:t>甲醇燃料车载储罐式加注规程</w:t>
            </w:r>
            <w:r>
              <w:rPr>
                <w:rFonts w:hint="eastAsia"/>
                <w:sz w:val="24"/>
                <w:szCs w:val="24"/>
              </w:rPr>
              <w:t>，可指导行业内甲醇燃料动力船车载储罐式加注工作，统一技术标准，最终实现技术提升，保证安全生产。</w:t>
            </w:r>
          </w:p>
        </w:tc>
      </w:tr>
      <w:tr w:rsidR="003650DE" w14:paraId="072DE7D1" w14:textId="77777777">
        <w:trPr>
          <w:trHeight w:val="581"/>
          <w:jc w:val="center"/>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5FB72DFE" w14:textId="77777777" w:rsidR="003650DE" w:rsidRDefault="003F0786">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shd w:val="clear" w:color="auto" w:fill="auto"/>
          </w:tcPr>
          <w:p w14:paraId="51C8D2DA" w14:textId="77777777" w:rsidR="003650DE" w:rsidRDefault="003F0786">
            <w:pPr>
              <w:ind w:firstLineChars="200" w:firstLine="480"/>
              <w:rPr>
                <w:sz w:val="24"/>
                <w:szCs w:val="24"/>
              </w:rPr>
            </w:pPr>
            <w:r>
              <w:rPr>
                <w:rFonts w:hint="eastAsia"/>
                <w:sz w:val="24"/>
                <w:szCs w:val="24"/>
              </w:rPr>
              <w:t>目前甲醇燃料动力船正受到市场青睐，各国船级社也在积极推进甲醇燃料的相关规范。例如，中国船级社于</w:t>
            </w:r>
            <w:r>
              <w:rPr>
                <w:rFonts w:hint="eastAsia"/>
                <w:sz w:val="24"/>
                <w:szCs w:val="24"/>
              </w:rPr>
              <w:t>2</w:t>
            </w:r>
            <w:r>
              <w:rPr>
                <w:sz w:val="24"/>
                <w:szCs w:val="24"/>
              </w:rPr>
              <w:t>023</w:t>
            </w:r>
            <w:r>
              <w:rPr>
                <w:rFonts w:hint="eastAsia"/>
                <w:sz w:val="24"/>
                <w:szCs w:val="24"/>
              </w:rPr>
              <w:t>年生效了《船舶甲醇燃料加注作业指南》，全面介绍了甲醇燃料动力船加注时涉及到的各方面要求，对甲醇燃料加注起到指导性作用。但无论国内还是国外，尚无专门的</w:t>
            </w:r>
            <w:r w:rsidRPr="00E71B54">
              <w:rPr>
                <w:rFonts w:hint="eastAsia"/>
                <w:sz w:val="24"/>
                <w:szCs w:val="24"/>
              </w:rPr>
              <w:t>甲醇燃料动力船车载储罐式加注规程</w:t>
            </w:r>
            <w:r>
              <w:rPr>
                <w:rFonts w:hint="eastAsia"/>
                <w:sz w:val="24"/>
                <w:szCs w:val="24"/>
              </w:rPr>
              <w:t>，属于行业空白，急需编制相关设计标准。</w:t>
            </w:r>
          </w:p>
        </w:tc>
      </w:tr>
      <w:tr w:rsidR="003650DE" w14:paraId="7AEED9E5" w14:textId="77777777">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215F4835" w14:textId="77777777" w:rsidR="003650DE" w:rsidRDefault="003F0786">
            <w:pPr>
              <w:jc w:val="center"/>
              <w:rPr>
                <w:sz w:val="24"/>
                <w:szCs w:val="24"/>
              </w:rPr>
            </w:pPr>
            <w:r>
              <w:rPr>
                <w:rFonts w:ascii="宋体" w:hAnsi="宋体" w:hint="eastAsia"/>
                <w:sz w:val="24"/>
                <w:szCs w:val="24"/>
              </w:rPr>
              <w:t>标准适用范围</w:t>
            </w:r>
          </w:p>
          <w:p w14:paraId="5F61E1A2" w14:textId="77777777" w:rsidR="003650DE" w:rsidRDefault="003F0786">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14:paraId="06CCD408" w14:textId="77777777" w:rsidR="003650DE" w:rsidRDefault="003F0786">
            <w:pPr>
              <w:ind w:firstLineChars="200" w:firstLine="480"/>
              <w:rPr>
                <w:i/>
                <w:sz w:val="24"/>
                <w:szCs w:val="24"/>
                <w:u w:val="single"/>
              </w:rPr>
            </w:pPr>
            <w:r>
              <w:rPr>
                <w:rFonts w:hint="eastAsia"/>
                <w:sz w:val="24"/>
                <w:szCs w:val="24"/>
              </w:rPr>
              <w:t>本规程适用于甲醇燃料动力船采用槽罐加注车模式单独执行甲醇燃料加注作业。本规程将从基本要求、加注前准备工作、加注过程、应急响应等方面对甲醇燃料动力船车载储罐式加注规程进行管理指示描述，并通过记录备案、签署确认检查表等追溯方法确认各指示的执行。</w:t>
            </w:r>
          </w:p>
        </w:tc>
      </w:tr>
      <w:tr w:rsidR="003650DE" w14:paraId="71EE853E" w14:textId="77777777" w:rsidTr="00E71B54">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035C64C9" w14:textId="77777777" w:rsidR="003650DE" w:rsidRDefault="003F0786">
            <w:pPr>
              <w:jc w:val="center"/>
              <w:rPr>
                <w:rFonts w:ascii="宋体" w:hAnsi="宋体"/>
                <w:sz w:val="24"/>
                <w:szCs w:val="24"/>
              </w:rPr>
            </w:pPr>
            <w:r>
              <w:rPr>
                <w:rFonts w:ascii="宋体" w:hAnsi="宋体" w:hint="eastAsia"/>
                <w:sz w:val="24"/>
                <w:szCs w:val="24"/>
              </w:rPr>
              <w:t>工作进度安排</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718C71C2" w14:textId="77777777" w:rsidR="003650DE" w:rsidRDefault="003F0786" w:rsidP="00E71B54">
            <w:pPr>
              <w:ind w:firstLineChars="200" w:firstLine="480"/>
              <w:rPr>
                <w:sz w:val="24"/>
                <w:szCs w:val="24"/>
              </w:rPr>
            </w:pPr>
            <w:r>
              <w:rPr>
                <w:rFonts w:hint="eastAsia"/>
                <w:sz w:val="24"/>
                <w:szCs w:val="24"/>
              </w:rPr>
              <w:t>预计</w:t>
            </w:r>
            <w:r>
              <w:rPr>
                <w:rFonts w:hint="eastAsia"/>
                <w:sz w:val="24"/>
                <w:szCs w:val="24"/>
              </w:rPr>
              <w:t>2025</w:t>
            </w:r>
            <w:r>
              <w:rPr>
                <w:rFonts w:hint="eastAsia"/>
                <w:sz w:val="24"/>
                <w:szCs w:val="24"/>
              </w:rPr>
              <w:t>年底完成标准报批稿。</w:t>
            </w:r>
          </w:p>
        </w:tc>
      </w:tr>
      <w:tr w:rsidR="003650DE" w14:paraId="1813FF73" w14:textId="77777777" w:rsidTr="00E71B54">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74D4A091" w14:textId="77777777" w:rsidR="003650DE" w:rsidRDefault="003F0786">
            <w:pPr>
              <w:jc w:val="center"/>
              <w:rPr>
                <w:rFonts w:ascii="宋体" w:hAnsi="宋体"/>
                <w:sz w:val="24"/>
                <w:szCs w:val="24"/>
              </w:rPr>
            </w:pPr>
            <w:r>
              <w:rPr>
                <w:rFonts w:ascii="宋体" w:hAnsi="宋体" w:hint="eastAsia"/>
                <w:sz w:val="24"/>
                <w:szCs w:val="24"/>
              </w:rPr>
              <w:t>标准预期实施应用方案</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3D6A693F" w14:textId="77777777" w:rsidR="003650DE" w:rsidRDefault="003F0786" w:rsidP="00E71B54">
            <w:pPr>
              <w:ind w:firstLineChars="200" w:firstLine="480"/>
              <w:rPr>
                <w:sz w:val="24"/>
                <w:szCs w:val="24"/>
              </w:rPr>
            </w:pPr>
            <w:r w:rsidRPr="00E71B54">
              <w:rPr>
                <w:rFonts w:hint="eastAsia"/>
                <w:sz w:val="24"/>
                <w:szCs w:val="24"/>
              </w:rPr>
              <w:t>建议标准完成后及时进行</w:t>
            </w:r>
            <w:proofErr w:type="gramStart"/>
            <w:r w:rsidRPr="00E71B54">
              <w:rPr>
                <w:rFonts w:hint="eastAsia"/>
                <w:sz w:val="24"/>
                <w:szCs w:val="24"/>
              </w:rPr>
              <w:t>宣贯并发布</w:t>
            </w:r>
            <w:proofErr w:type="gramEnd"/>
            <w:r w:rsidRPr="00E71B54">
              <w:rPr>
                <w:rFonts w:hint="eastAsia"/>
                <w:sz w:val="24"/>
                <w:szCs w:val="24"/>
              </w:rPr>
              <w:t>实施</w:t>
            </w:r>
            <w:r w:rsidRPr="00E71B54">
              <w:rPr>
                <w:rFonts w:hint="eastAsia"/>
                <w:sz w:val="24"/>
                <w:szCs w:val="24"/>
              </w:rPr>
              <w:t>。</w:t>
            </w:r>
          </w:p>
        </w:tc>
      </w:tr>
      <w:tr w:rsidR="003650DE" w14:paraId="00BB7C9F" w14:textId="77777777" w:rsidTr="00E71B54">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1109BC52" w14:textId="77777777" w:rsidR="003650DE" w:rsidRDefault="003F0786">
            <w:pPr>
              <w:jc w:val="center"/>
              <w:rPr>
                <w:rFonts w:ascii="宋体" w:hAnsi="宋体"/>
                <w:sz w:val="24"/>
                <w:szCs w:val="24"/>
              </w:rPr>
            </w:pPr>
            <w:r>
              <w:rPr>
                <w:rFonts w:ascii="宋体" w:hAnsi="宋体" w:hint="eastAsia"/>
                <w:sz w:val="24"/>
                <w:szCs w:val="24"/>
              </w:rPr>
              <w:lastRenderedPageBreak/>
              <w:t>经费保障</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3C7DF0C" w14:textId="77777777" w:rsidR="003650DE" w:rsidRDefault="003F0786" w:rsidP="00E71B54">
            <w:pPr>
              <w:ind w:firstLineChars="200" w:firstLine="480"/>
              <w:rPr>
                <w:sz w:val="24"/>
                <w:szCs w:val="24"/>
              </w:rPr>
            </w:pPr>
            <w:r w:rsidRPr="00E71B54">
              <w:rPr>
                <w:rFonts w:hint="eastAsia"/>
                <w:sz w:val="24"/>
                <w:szCs w:val="24"/>
              </w:rPr>
              <w:t>本项目为国家科研项目，通过定向资金</w:t>
            </w:r>
            <w:r>
              <w:rPr>
                <w:rFonts w:hint="eastAsia"/>
                <w:sz w:val="24"/>
                <w:szCs w:val="24"/>
              </w:rPr>
              <w:t>保障标准研制经费。</w:t>
            </w:r>
          </w:p>
        </w:tc>
      </w:tr>
      <w:tr w:rsidR="003650DE" w14:paraId="1A4D3B21" w14:textId="77777777">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6576E16" w14:textId="77777777" w:rsidR="003650DE" w:rsidRDefault="003F0786">
            <w:pPr>
              <w:widowControl/>
              <w:jc w:val="center"/>
              <w:rPr>
                <w:rFonts w:ascii="宋体" w:hAnsi="宋体"/>
                <w:sz w:val="24"/>
                <w:szCs w:val="24"/>
              </w:rPr>
            </w:pPr>
            <w:r>
              <w:rPr>
                <w:rFonts w:ascii="宋体" w:hAnsi="宋体" w:hint="eastAsia"/>
                <w:sz w:val="24"/>
                <w:szCs w:val="24"/>
              </w:rPr>
              <w:t>技术基础及研究团队</w:t>
            </w:r>
          </w:p>
        </w:tc>
        <w:tc>
          <w:tcPr>
            <w:tcW w:w="7210" w:type="dxa"/>
            <w:gridSpan w:val="6"/>
            <w:tcBorders>
              <w:top w:val="single" w:sz="4" w:space="0" w:color="auto"/>
              <w:left w:val="single" w:sz="4" w:space="0" w:color="auto"/>
              <w:bottom w:val="single" w:sz="4" w:space="0" w:color="auto"/>
              <w:right w:val="single" w:sz="4" w:space="0" w:color="auto"/>
            </w:tcBorders>
          </w:tcPr>
          <w:p w14:paraId="5327008E" w14:textId="77777777" w:rsidR="003650DE" w:rsidRDefault="003F0786">
            <w:pPr>
              <w:ind w:firstLineChars="200" w:firstLine="480"/>
              <w:rPr>
                <w:sz w:val="24"/>
                <w:szCs w:val="24"/>
              </w:rPr>
            </w:pPr>
            <w:r>
              <w:rPr>
                <w:rFonts w:hint="eastAsia"/>
                <w:kern w:val="0"/>
                <w:sz w:val="24"/>
                <w:szCs w:val="24"/>
              </w:rPr>
              <w:t>大连造船甲醇燃料车载储罐式加注团队参与</w:t>
            </w:r>
            <w:r>
              <w:rPr>
                <w:kern w:val="0"/>
                <w:sz w:val="24"/>
                <w:szCs w:val="24"/>
              </w:rPr>
              <w:t>30.6</w:t>
            </w:r>
            <w:r>
              <w:rPr>
                <w:rFonts w:hint="eastAsia"/>
                <w:kern w:val="0"/>
                <w:sz w:val="24"/>
                <w:szCs w:val="24"/>
              </w:rPr>
              <w:t>万吨</w:t>
            </w:r>
            <w:proofErr w:type="gramStart"/>
            <w:r>
              <w:rPr>
                <w:rFonts w:hint="eastAsia"/>
                <w:kern w:val="0"/>
                <w:sz w:val="24"/>
                <w:szCs w:val="24"/>
              </w:rPr>
              <w:t>甲醇双</w:t>
            </w:r>
            <w:proofErr w:type="gramEnd"/>
            <w:r>
              <w:rPr>
                <w:rFonts w:hint="eastAsia"/>
                <w:kern w:val="0"/>
                <w:sz w:val="24"/>
                <w:szCs w:val="24"/>
              </w:rPr>
              <w:t>燃料超大型油船和</w:t>
            </w:r>
            <w:r>
              <w:rPr>
                <w:rFonts w:hint="eastAsia"/>
                <w:kern w:val="0"/>
                <w:sz w:val="24"/>
                <w:szCs w:val="24"/>
              </w:rPr>
              <w:t>1</w:t>
            </w:r>
            <w:r>
              <w:rPr>
                <w:kern w:val="0"/>
                <w:sz w:val="24"/>
                <w:szCs w:val="24"/>
              </w:rPr>
              <w:t>5000</w:t>
            </w:r>
            <w:r>
              <w:rPr>
                <w:rFonts w:hint="eastAsia"/>
                <w:kern w:val="0"/>
                <w:sz w:val="24"/>
                <w:szCs w:val="24"/>
              </w:rPr>
              <w:t>箱</w:t>
            </w:r>
            <w:proofErr w:type="gramStart"/>
            <w:r>
              <w:rPr>
                <w:rFonts w:hint="eastAsia"/>
                <w:kern w:val="0"/>
                <w:sz w:val="24"/>
                <w:szCs w:val="24"/>
              </w:rPr>
              <w:t>甲醇双</w:t>
            </w:r>
            <w:proofErr w:type="gramEnd"/>
            <w:r>
              <w:rPr>
                <w:rFonts w:hint="eastAsia"/>
                <w:kern w:val="0"/>
                <w:sz w:val="24"/>
                <w:szCs w:val="24"/>
              </w:rPr>
              <w:t>燃料集装箱船的研制，在原超大型油船和集装箱船的基础上，增加了甲醇燃料系统，突破传统能源的局限，燃料更清洁，相关甲醇系统已在实船上应用。目前各国政府对于绿色低碳交通的支持力度不断加大，也为甲醇动力船提供了良好的政策环境。</w:t>
            </w:r>
            <w:r>
              <w:rPr>
                <w:kern w:val="0"/>
                <w:sz w:val="24"/>
                <w:szCs w:val="24"/>
              </w:rPr>
              <w:t xml:space="preserve">   </w:t>
            </w:r>
          </w:p>
        </w:tc>
      </w:tr>
      <w:tr w:rsidR="003650DE" w14:paraId="14CD3114" w14:textId="77777777">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474E0FF" w14:textId="77777777" w:rsidR="003650DE" w:rsidRDefault="003F0786">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14:paraId="02E85787" w14:textId="77777777" w:rsidR="003650DE" w:rsidRDefault="003F0786">
            <w:pPr>
              <w:wordWrap w:val="0"/>
              <w:jc w:val="right"/>
              <w:rPr>
                <w:sz w:val="24"/>
                <w:szCs w:val="24"/>
              </w:rPr>
            </w:pPr>
            <w:r>
              <w:rPr>
                <w:rFonts w:ascii="宋体" w:hAnsi="宋体" w:hint="eastAsia"/>
                <w:sz w:val="24"/>
                <w:szCs w:val="24"/>
              </w:rPr>
              <w:t>（盖章）</w:t>
            </w:r>
            <w:r>
              <w:rPr>
                <w:rFonts w:hint="eastAsia"/>
                <w:sz w:val="24"/>
                <w:szCs w:val="24"/>
              </w:rPr>
              <w:t xml:space="preserve"> </w:t>
            </w:r>
            <w:r>
              <w:rPr>
                <w:rFonts w:cs="Calibri"/>
                <w:sz w:val="24"/>
                <w:szCs w:val="24"/>
              </w:rPr>
              <w:t xml:space="preserve">                                         </w:t>
            </w:r>
          </w:p>
          <w:p w14:paraId="2672950F" w14:textId="77777777" w:rsidR="003650DE" w:rsidRDefault="003F0786">
            <w:pPr>
              <w:jc w:val="right"/>
              <w:rPr>
                <w:rFonts w:ascii="黑体" w:eastAsia="黑体" w:hAnsi="宋体"/>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3650DE" w14:paraId="3EAC72CC" w14:textId="77777777">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14:paraId="1EE08178" w14:textId="77777777" w:rsidR="003650DE" w:rsidRDefault="003F0786">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25D38AB9" w14:textId="77777777" w:rsidR="003650DE" w:rsidRDefault="003F0786">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F7DA28A" w14:textId="77777777" w:rsidR="003650DE" w:rsidRDefault="003650DE">
            <w:pPr>
              <w:jc w:val="right"/>
              <w:rPr>
                <w:sz w:val="24"/>
                <w:szCs w:val="24"/>
              </w:rPr>
            </w:pPr>
          </w:p>
          <w:p w14:paraId="51D15EF9" w14:textId="77777777" w:rsidR="003650DE" w:rsidRDefault="003650DE">
            <w:pPr>
              <w:jc w:val="right"/>
              <w:rPr>
                <w:sz w:val="24"/>
                <w:szCs w:val="24"/>
              </w:rPr>
            </w:pPr>
          </w:p>
          <w:p w14:paraId="6835644D" w14:textId="77777777" w:rsidR="003650DE" w:rsidRDefault="003F0786">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6355C2C0" w14:textId="77777777" w:rsidR="003650DE" w:rsidRDefault="003F0786">
            <w:pPr>
              <w:jc w:val="center"/>
              <w:rPr>
                <w:sz w:val="24"/>
                <w:szCs w:val="24"/>
              </w:rPr>
            </w:pPr>
            <w:r>
              <w:rPr>
                <w:rFonts w:ascii="宋体" w:hAnsi="宋体" w:hint="eastAsia"/>
                <w:sz w:val="24"/>
                <w:szCs w:val="24"/>
              </w:rPr>
              <w:t>中国造船工程学</w:t>
            </w:r>
            <w:proofErr w:type="gramStart"/>
            <w:r>
              <w:rPr>
                <w:rFonts w:ascii="宋体"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14:paraId="6C1D255A" w14:textId="77777777" w:rsidR="003650DE" w:rsidRDefault="003F0786">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52ED339" w14:textId="77777777" w:rsidR="003650DE" w:rsidRDefault="003650DE">
            <w:pPr>
              <w:jc w:val="right"/>
              <w:rPr>
                <w:sz w:val="24"/>
                <w:szCs w:val="24"/>
              </w:rPr>
            </w:pPr>
          </w:p>
          <w:p w14:paraId="606A1057" w14:textId="77777777" w:rsidR="003650DE" w:rsidRDefault="003650DE">
            <w:pPr>
              <w:jc w:val="right"/>
              <w:rPr>
                <w:sz w:val="24"/>
                <w:szCs w:val="24"/>
              </w:rPr>
            </w:pPr>
          </w:p>
          <w:p w14:paraId="6001C341" w14:textId="77777777" w:rsidR="003650DE" w:rsidRDefault="003F0786">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14:paraId="622DAD10" w14:textId="77777777" w:rsidR="003650DE" w:rsidRDefault="003F0786">
      <w:pPr>
        <w:jc w:val="left"/>
      </w:pPr>
      <w:r>
        <w:rPr>
          <w:rFonts w:ascii="宋体" w:hAnsi="宋体" w:hint="eastAsia"/>
        </w:rPr>
        <w:t>注：如本表空间不够，可另附页。</w:t>
      </w:r>
    </w:p>
    <w:sectPr w:rsidR="003650DE">
      <w:pgSz w:w="11906" w:h="16838"/>
      <w:pgMar w:top="1134" w:right="851" w:bottom="567"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5"/>
    <w:rsid w:val="00002259"/>
    <w:rsid w:val="000160AA"/>
    <w:rsid w:val="0002111A"/>
    <w:rsid w:val="00052D60"/>
    <w:rsid w:val="00087BFE"/>
    <w:rsid w:val="000A2DDE"/>
    <w:rsid w:val="00132871"/>
    <w:rsid w:val="001917F6"/>
    <w:rsid w:val="001A297C"/>
    <w:rsid w:val="00242A66"/>
    <w:rsid w:val="002B00F3"/>
    <w:rsid w:val="002F1729"/>
    <w:rsid w:val="002F4321"/>
    <w:rsid w:val="0030105D"/>
    <w:rsid w:val="003036B2"/>
    <w:rsid w:val="0034711F"/>
    <w:rsid w:val="003650DE"/>
    <w:rsid w:val="003A0CB6"/>
    <w:rsid w:val="003C7883"/>
    <w:rsid w:val="003F0786"/>
    <w:rsid w:val="00474C5C"/>
    <w:rsid w:val="004763E5"/>
    <w:rsid w:val="004A466F"/>
    <w:rsid w:val="004A6B1D"/>
    <w:rsid w:val="004C6A66"/>
    <w:rsid w:val="004F740A"/>
    <w:rsid w:val="005129FE"/>
    <w:rsid w:val="005435B1"/>
    <w:rsid w:val="00551945"/>
    <w:rsid w:val="00582ACE"/>
    <w:rsid w:val="005B4F9A"/>
    <w:rsid w:val="005F67F0"/>
    <w:rsid w:val="00644361"/>
    <w:rsid w:val="006E4D83"/>
    <w:rsid w:val="0079241E"/>
    <w:rsid w:val="007E64CB"/>
    <w:rsid w:val="00813AB3"/>
    <w:rsid w:val="008237D8"/>
    <w:rsid w:val="008A65B1"/>
    <w:rsid w:val="008B0F13"/>
    <w:rsid w:val="008D101D"/>
    <w:rsid w:val="00956404"/>
    <w:rsid w:val="0096126C"/>
    <w:rsid w:val="009A31A4"/>
    <w:rsid w:val="00A12723"/>
    <w:rsid w:val="00A50B18"/>
    <w:rsid w:val="00AE6C4A"/>
    <w:rsid w:val="00B51279"/>
    <w:rsid w:val="00C503F2"/>
    <w:rsid w:val="00C53BB5"/>
    <w:rsid w:val="00C669F3"/>
    <w:rsid w:val="00CD1D8E"/>
    <w:rsid w:val="00CD2559"/>
    <w:rsid w:val="00CE5AD9"/>
    <w:rsid w:val="00D21C6B"/>
    <w:rsid w:val="00D51B78"/>
    <w:rsid w:val="00D670CB"/>
    <w:rsid w:val="00DB3EE3"/>
    <w:rsid w:val="00E0485B"/>
    <w:rsid w:val="00E0490C"/>
    <w:rsid w:val="00E2293E"/>
    <w:rsid w:val="00E403DA"/>
    <w:rsid w:val="00E51ECB"/>
    <w:rsid w:val="00E71B54"/>
    <w:rsid w:val="00EA1239"/>
    <w:rsid w:val="00EB1E31"/>
    <w:rsid w:val="00ED36DA"/>
    <w:rsid w:val="00ED3E67"/>
    <w:rsid w:val="00EE47B4"/>
    <w:rsid w:val="00F47B0F"/>
    <w:rsid w:val="00F5021A"/>
    <w:rsid w:val="00F57CCA"/>
    <w:rsid w:val="00F810AF"/>
    <w:rsid w:val="00F91F79"/>
    <w:rsid w:val="00F923FB"/>
    <w:rsid w:val="00FA29B5"/>
    <w:rsid w:val="00FB47DA"/>
    <w:rsid w:val="00FC73AA"/>
    <w:rsid w:val="00FF5D9A"/>
    <w:rsid w:val="0ABD286D"/>
    <w:rsid w:val="441C1156"/>
    <w:rsid w:val="7E394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Pr>
      <w:b/>
      <w:bCs/>
    </w:rPr>
  </w:style>
  <w:style w:type="character" w:styleId="a8">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emiHidden/>
    <w:rPr>
      <w:rFonts w:ascii="Calibri" w:eastAsia="宋体" w:hAnsi="Calibri" w:cs="Times New Roman"/>
      <w:szCs w:val="21"/>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3">
    <w:name w:val="批注主题 Char"/>
    <w:basedOn w:val="Char"/>
    <w:link w:val="a7"/>
    <w:uiPriority w:val="99"/>
    <w:semiHidden/>
    <w:rPr>
      <w:rFonts w:ascii="Calibri" w:eastAsia="宋体" w:hAnsi="Calibri" w:cs="Times New Roman"/>
      <w:b/>
      <w:bCs/>
      <w:szCs w:val="21"/>
    </w:rPr>
  </w:style>
  <w:style w:type="paragraph" w:customStyle="1" w:styleId="a9">
    <w:name w:val="封面一致性程度标识"/>
    <w:basedOn w:val="a"/>
    <w:pPr>
      <w:framePr w:w="9639" w:h="6917" w:wrap="around" w:vAnchor="page" w:hAnchor="page" w:xAlign="center" w:y="6408" w:anchorLock="1"/>
      <w:spacing w:before="440" w:line="400" w:lineRule="exact"/>
      <w:jc w:val="center"/>
    </w:pPr>
    <w:rPr>
      <w:rFonts w:ascii="宋体" w:hAnsi="Times New Roman"/>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Pr>
      <w:b/>
      <w:bCs/>
    </w:rPr>
  </w:style>
  <w:style w:type="character" w:styleId="a8">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emiHidden/>
    <w:rPr>
      <w:rFonts w:ascii="Calibri" w:eastAsia="宋体" w:hAnsi="Calibri" w:cs="Times New Roman"/>
      <w:szCs w:val="21"/>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3">
    <w:name w:val="批注主题 Char"/>
    <w:basedOn w:val="Char"/>
    <w:link w:val="a7"/>
    <w:uiPriority w:val="99"/>
    <w:semiHidden/>
    <w:rPr>
      <w:rFonts w:ascii="Calibri" w:eastAsia="宋体" w:hAnsi="Calibri" w:cs="Times New Roman"/>
      <w:b/>
      <w:bCs/>
      <w:szCs w:val="21"/>
    </w:rPr>
  </w:style>
  <w:style w:type="paragraph" w:customStyle="1" w:styleId="a9">
    <w:name w:val="封面一致性程度标识"/>
    <w:basedOn w:val="a"/>
    <w:pPr>
      <w:framePr w:w="9639" w:h="6917" w:wrap="around" w:vAnchor="page" w:hAnchor="page" w:xAlign="center" w:y="6408" w:anchorLock="1"/>
      <w:spacing w:before="440" w:line="400" w:lineRule="exact"/>
      <w:jc w:val="center"/>
    </w:pPr>
    <w:rPr>
      <w:rFonts w:ascii="宋体" w:hAnsi="Times New Roman"/>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DF344-9219-4687-AB39-28AB27377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GUANJUN</dc:creator>
  <cp:lastModifiedBy>lenovo</cp:lastModifiedBy>
  <cp:revision>141</cp:revision>
  <dcterms:created xsi:type="dcterms:W3CDTF">2023-02-23T02:07:00Z</dcterms:created>
  <dcterms:modified xsi:type="dcterms:W3CDTF">2025-03-18T00:58:00Z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eyJoZGlkIjoiNDZhNWZjMTI5NzNmZTUxMGNkZGVlNDM1MmM1MThmZmYifQ==</vt:lpwstr>
  </property>
  <property fmtid="{D5CDD505-2E9C-101B-9397-08002B2CF9AE}" pid="3" name="KSOProductBuildVer">
    <vt:lpwstr>2052-12.1.0.20305</vt:lpwstr>
  </property>
  <property fmtid="{D5CDD505-2E9C-101B-9397-08002B2CF9AE}" pid="4" name="ICV">
    <vt:lpwstr>96709B71FC994B21A9683E89A6701DF5_12</vt:lpwstr>
  </property>
</Properties>
</file>