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776122" w14:textId="77777777" w:rsidR="006B1439" w:rsidRDefault="006B1439" w:rsidP="006B1439">
      <w:pPr>
        <w:spacing w:line="360" w:lineRule="auto"/>
        <w:jc w:val="left"/>
        <w:outlineLvl w:val="0"/>
        <w:rPr>
          <w:rFonts w:ascii="黑体" w:eastAsia="黑体" w:hAnsi="华文细黑" w:hint="eastAsia"/>
          <w:sz w:val="24"/>
        </w:rPr>
      </w:pPr>
      <w:r>
        <w:rPr>
          <w:rFonts w:ascii="黑体" w:eastAsia="黑体" w:hAnsi="华文细黑" w:hint="eastAsia"/>
          <w:sz w:val="24"/>
        </w:rPr>
        <w:t>附件1</w:t>
      </w:r>
    </w:p>
    <w:p w14:paraId="64D620A7" w14:textId="77777777" w:rsidR="006B1439" w:rsidRDefault="006B1439" w:rsidP="006B1439">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71"/>
        <w:gridCol w:w="850"/>
        <w:gridCol w:w="851"/>
        <w:gridCol w:w="3383"/>
      </w:tblGrid>
      <w:tr w:rsidR="006B1439" w14:paraId="54C8A838" w14:textId="77777777" w:rsidTr="00A14666">
        <w:trPr>
          <w:trHeight w:val="605"/>
          <w:jc w:val="center"/>
        </w:trPr>
        <w:tc>
          <w:tcPr>
            <w:tcW w:w="1980" w:type="dxa"/>
            <w:vAlign w:val="center"/>
          </w:tcPr>
          <w:p w14:paraId="05AF9591" w14:textId="77777777" w:rsidR="006B1439" w:rsidRDefault="006B1439" w:rsidP="00A14666">
            <w:pPr>
              <w:rPr>
                <w:sz w:val="24"/>
              </w:rPr>
            </w:pPr>
            <w:r>
              <w:rPr>
                <w:rFonts w:hint="eastAsia"/>
                <w:sz w:val="24"/>
              </w:rPr>
              <w:t>项目名称（中文）</w:t>
            </w:r>
          </w:p>
        </w:tc>
        <w:tc>
          <w:tcPr>
            <w:tcW w:w="7255" w:type="dxa"/>
            <w:gridSpan w:val="4"/>
            <w:vAlign w:val="center"/>
          </w:tcPr>
          <w:p w14:paraId="3C09888F" w14:textId="77777777" w:rsidR="006B1439" w:rsidRPr="008F75B2" w:rsidRDefault="006B1439" w:rsidP="00A14666">
            <w:pPr>
              <w:jc w:val="center"/>
              <w:rPr>
                <w:sz w:val="24"/>
                <w:lang w:val="en-US"/>
              </w:rPr>
            </w:pPr>
            <w:r w:rsidRPr="008F75B2">
              <w:rPr>
                <w:rFonts w:hint="eastAsia"/>
                <w:sz w:val="24"/>
                <w:lang w:val="en-US"/>
              </w:rPr>
              <w:t>极地船舶动力装置进气防冰除冰要求</w:t>
            </w:r>
          </w:p>
        </w:tc>
      </w:tr>
      <w:tr w:rsidR="006B1439" w14:paraId="55D0D611" w14:textId="77777777" w:rsidTr="00A14666">
        <w:trPr>
          <w:trHeight w:val="605"/>
          <w:jc w:val="center"/>
        </w:trPr>
        <w:tc>
          <w:tcPr>
            <w:tcW w:w="1980" w:type="dxa"/>
            <w:vAlign w:val="center"/>
          </w:tcPr>
          <w:p w14:paraId="30EA571E" w14:textId="77777777" w:rsidR="006B1439" w:rsidRDefault="006B1439" w:rsidP="00A14666">
            <w:pPr>
              <w:rPr>
                <w:sz w:val="24"/>
              </w:rPr>
            </w:pPr>
            <w:r>
              <w:rPr>
                <w:rFonts w:hint="eastAsia"/>
                <w:sz w:val="24"/>
              </w:rPr>
              <w:t>项目名称（英文）</w:t>
            </w:r>
          </w:p>
        </w:tc>
        <w:tc>
          <w:tcPr>
            <w:tcW w:w="7255" w:type="dxa"/>
            <w:gridSpan w:val="4"/>
            <w:vAlign w:val="center"/>
          </w:tcPr>
          <w:p w14:paraId="291CED85" w14:textId="77777777" w:rsidR="006B1439" w:rsidRDefault="006B1439" w:rsidP="00A14666">
            <w:pPr>
              <w:jc w:val="center"/>
              <w:rPr>
                <w:sz w:val="24"/>
              </w:rPr>
            </w:pPr>
            <w:r w:rsidRPr="008F75B2">
              <w:rPr>
                <w:sz w:val="24"/>
              </w:rPr>
              <w:t>Requirements for Anti-Icing and De-Icing of Intake Air for Polar Ship Power Plants</w:t>
            </w:r>
          </w:p>
        </w:tc>
      </w:tr>
      <w:tr w:rsidR="006B1439" w14:paraId="0B2718E3" w14:textId="77777777" w:rsidTr="00A14666">
        <w:trPr>
          <w:trHeight w:val="540"/>
          <w:jc w:val="center"/>
        </w:trPr>
        <w:tc>
          <w:tcPr>
            <w:tcW w:w="1980" w:type="dxa"/>
            <w:vAlign w:val="center"/>
          </w:tcPr>
          <w:p w14:paraId="47B12058" w14:textId="77777777" w:rsidR="006B1439" w:rsidRDefault="006B1439" w:rsidP="00A14666">
            <w:pPr>
              <w:jc w:val="center"/>
              <w:rPr>
                <w:sz w:val="24"/>
              </w:rPr>
            </w:pPr>
            <w:r>
              <w:rPr>
                <w:rFonts w:hint="eastAsia"/>
                <w:sz w:val="24"/>
              </w:rPr>
              <w:t>制修订</w:t>
            </w:r>
          </w:p>
        </w:tc>
        <w:tc>
          <w:tcPr>
            <w:tcW w:w="2171" w:type="dxa"/>
            <w:vAlign w:val="center"/>
          </w:tcPr>
          <w:p w14:paraId="7132A576" w14:textId="77777777" w:rsidR="006B1439" w:rsidRDefault="006B1439" w:rsidP="00A14666">
            <w:pPr>
              <w:jc w:val="center"/>
              <w:rPr>
                <w:sz w:val="24"/>
              </w:rPr>
            </w:pPr>
            <w:r w:rsidRPr="00BD6374">
              <w:rPr>
                <w:rFonts w:ascii="Segoe UI Symbol" w:hAnsi="Segoe UI Symbol" w:cs="Segoe UI Symbol"/>
                <w:sz w:val="24"/>
              </w:rPr>
              <w:t>☑</w:t>
            </w:r>
            <w:r>
              <w:rPr>
                <w:rFonts w:hAnsiTheme="minorEastAsia" w:hint="eastAsia"/>
                <w:sz w:val="24"/>
              </w:rPr>
              <w:t>制定   □修订</w:t>
            </w:r>
          </w:p>
        </w:tc>
        <w:tc>
          <w:tcPr>
            <w:tcW w:w="1701" w:type="dxa"/>
            <w:gridSpan w:val="2"/>
            <w:vAlign w:val="center"/>
          </w:tcPr>
          <w:p w14:paraId="3F02835F" w14:textId="77777777" w:rsidR="006B1439" w:rsidRDefault="006B1439" w:rsidP="00A14666">
            <w:pPr>
              <w:jc w:val="center"/>
              <w:rPr>
                <w:sz w:val="24"/>
              </w:rPr>
            </w:pPr>
            <w:r>
              <w:rPr>
                <w:rFonts w:hint="eastAsia"/>
                <w:sz w:val="24"/>
              </w:rPr>
              <w:t>被修订标准号</w:t>
            </w:r>
          </w:p>
        </w:tc>
        <w:tc>
          <w:tcPr>
            <w:tcW w:w="3383" w:type="dxa"/>
            <w:vAlign w:val="center"/>
          </w:tcPr>
          <w:p w14:paraId="5E76B5BE" w14:textId="77777777" w:rsidR="006B1439" w:rsidRDefault="006B1439" w:rsidP="00A14666">
            <w:pPr>
              <w:rPr>
                <w:sz w:val="24"/>
              </w:rPr>
            </w:pPr>
            <w:r>
              <w:rPr>
                <w:rFonts w:hint="eastAsia"/>
                <w:sz w:val="24"/>
              </w:rPr>
              <w:t xml:space="preserve">   </w:t>
            </w:r>
          </w:p>
        </w:tc>
      </w:tr>
      <w:tr w:rsidR="006B1439" w14:paraId="154D3D12" w14:textId="77777777" w:rsidTr="00A14666">
        <w:trPr>
          <w:trHeight w:val="540"/>
          <w:jc w:val="center"/>
        </w:trPr>
        <w:tc>
          <w:tcPr>
            <w:tcW w:w="1980" w:type="dxa"/>
            <w:vAlign w:val="center"/>
          </w:tcPr>
          <w:p w14:paraId="75F26E4A" w14:textId="77777777" w:rsidR="006B1439" w:rsidRDefault="006B1439" w:rsidP="00A14666">
            <w:pPr>
              <w:jc w:val="center"/>
              <w:rPr>
                <w:sz w:val="24"/>
              </w:rPr>
            </w:pPr>
            <w:r>
              <w:rPr>
                <w:rFonts w:hint="eastAsia"/>
                <w:sz w:val="24"/>
              </w:rPr>
              <w:t>被修订标准名称</w:t>
            </w:r>
          </w:p>
        </w:tc>
        <w:tc>
          <w:tcPr>
            <w:tcW w:w="2171" w:type="dxa"/>
            <w:vAlign w:val="center"/>
          </w:tcPr>
          <w:p w14:paraId="707E0511" w14:textId="77777777" w:rsidR="006B1439" w:rsidRPr="003F0615" w:rsidRDefault="006B1439" w:rsidP="00A14666">
            <w:pPr>
              <w:rPr>
                <w:rFonts w:hAnsiTheme="minorEastAsia" w:hint="eastAsia"/>
                <w:i/>
                <w:iCs/>
                <w:sz w:val="24"/>
                <w:highlight w:val="yellow"/>
              </w:rPr>
            </w:pPr>
          </w:p>
        </w:tc>
        <w:tc>
          <w:tcPr>
            <w:tcW w:w="1701" w:type="dxa"/>
            <w:gridSpan w:val="2"/>
            <w:vAlign w:val="center"/>
          </w:tcPr>
          <w:p w14:paraId="2D954481" w14:textId="77777777" w:rsidR="006B1439" w:rsidRDefault="006B1439" w:rsidP="00A14666">
            <w:pPr>
              <w:jc w:val="center"/>
              <w:rPr>
                <w:sz w:val="24"/>
              </w:rPr>
            </w:pPr>
            <w:r>
              <w:rPr>
                <w:rFonts w:hint="eastAsia"/>
                <w:sz w:val="24"/>
              </w:rPr>
              <w:t>编制周期</w:t>
            </w:r>
          </w:p>
        </w:tc>
        <w:tc>
          <w:tcPr>
            <w:tcW w:w="3383" w:type="dxa"/>
            <w:vAlign w:val="center"/>
          </w:tcPr>
          <w:p w14:paraId="5271CEEC" w14:textId="1AF2DAD9" w:rsidR="006B1439" w:rsidRDefault="00245A6E" w:rsidP="00A14666">
            <w:pPr>
              <w:spacing w:line="240" w:lineRule="atLeast"/>
              <w:rPr>
                <w:rFonts w:hAnsiTheme="minorEastAsia" w:hint="eastAsia"/>
                <w:sz w:val="24"/>
              </w:rPr>
            </w:pPr>
            <w:r>
              <w:rPr>
                <w:rFonts w:hAnsiTheme="minorEastAsia" w:hint="eastAsia"/>
                <w:sz w:val="24"/>
              </w:rPr>
              <w:t>□</w:t>
            </w:r>
            <w:r w:rsidR="006B1439">
              <w:rPr>
                <w:rFonts w:hAnsiTheme="minorEastAsia" w:hint="eastAsia"/>
                <w:sz w:val="24"/>
              </w:rPr>
              <w:t xml:space="preserve">12个月  □18个月   </w:t>
            </w:r>
          </w:p>
          <w:p w14:paraId="731C0734" w14:textId="4AFF242A" w:rsidR="006B1439" w:rsidRDefault="006B1439" w:rsidP="00A14666">
            <w:pPr>
              <w:rPr>
                <w:sz w:val="24"/>
              </w:rPr>
            </w:pPr>
            <w:r>
              <w:rPr>
                <w:rFonts w:hAnsiTheme="minorEastAsia" w:hint="eastAsia"/>
                <w:sz w:val="24"/>
              </w:rPr>
              <w:t>□其他</w:t>
            </w:r>
            <w:r>
              <w:rPr>
                <w:rFonts w:hAnsiTheme="minorEastAsia" w:hint="eastAsia"/>
                <w:sz w:val="24"/>
                <w:u w:val="single"/>
              </w:rPr>
              <w:t xml:space="preserve">     </w:t>
            </w:r>
            <w:r w:rsidR="00245A6E">
              <w:rPr>
                <w:rFonts w:hAnsiTheme="minorEastAsia" w:hint="eastAsia"/>
                <w:sz w:val="24"/>
                <w:u w:val="single"/>
              </w:rPr>
              <w:t>8个月</w:t>
            </w:r>
            <w:r>
              <w:rPr>
                <w:rFonts w:hAnsiTheme="minorEastAsia" w:hint="eastAsia"/>
                <w:sz w:val="24"/>
                <w:u w:val="single"/>
              </w:rPr>
              <w:t xml:space="preserve">    </w:t>
            </w:r>
          </w:p>
        </w:tc>
      </w:tr>
      <w:tr w:rsidR="006B1439" w14:paraId="0E8E9354" w14:textId="77777777" w:rsidTr="00A14666">
        <w:trPr>
          <w:trHeight w:val="548"/>
          <w:jc w:val="center"/>
        </w:trPr>
        <w:tc>
          <w:tcPr>
            <w:tcW w:w="1980" w:type="dxa"/>
            <w:vAlign w:val="center"/>
          </w:tcPr>
          <w:p w14:paraId="4F2C93A9" w14:textId="77777777" w:rsidR="006B1439" w:rsidRDefault="006B1439" w:rsidP="00A14666">
            <w:pPr>
              <w:jc w:val="center"/>
              <w:rPr>
                <w:sz w:val="24"/>
              </w:rPr>
            </w:pPr>
            <w:r>
              <w:rPr>
                <w:rFonts w:hint="eastAsia"/>
                <w:sz w:val="24"/>
              </w:rPr>
              <w:t>起草单位</w:t>
            </w:r>
          </w:p>
          <w:p w14:paraId="7C29961A" w14:textId="77777777" w:rsidR="006B1439" w:rsidRDefault="006B1439" w:rsidP="00A14666">
            <w:pPr>
              <w:jc w:val="center"/>
              <w:rPr>
                <w:sz w:val="24"/>
              </w:rPr>
            </w:pPr>
            <w:r>
              <w:rPr>
                <w:rFonts w:hint="eastAsia"/>
                <w:sz w:val="24"/>
              </w:rPr>
              <w:t>（不少于3家）</w:t>
            </w:r>
          </w:p>
        </w:tc>
        <w:tc>
          <w:tcPr>
            <w:tcW w:w="7255" w:type="dxa"/>
            <w:gridSpan w:val="4"/>
            <w:vAlign w:val="center"/>
          </w:tcPr>
          <w:p w14:paraId="6270703C" w14:textId="77777777" w:rsidR="006B1439" w:rsidRDefault="006B1439" w:rsidP="00A14666">
            <w:pPr>
              <w:jc w:val="center"/>
              <w:rPr>
                <w:sz w:val="24"/>
              </w:rPr>
            </w:pPr>
            <w:r w:rsidRPr="00482AF2">
              <w:rPr>
                <w:rFonts w:hint="eastAsia"/>
                <w:color w:val="000000" w:themeColor="text1"/>
              </w:rPr>
              <w:t>哈尔滨工程大学、中国空气动力研究与发展中心、中船703所、中航606所、海军研究院</w:t>
            </w:r>
          </w:p>
        </w:tc>
      </w:tr>
      <w:tr w:rsidR="006B1439" w14:paraId="35060063" w14:textId="77777777" w:rsidTr="00A14666">
        <w:trPr>
          <w:trHeight w:val="548"/>
          <w:jc w:val="center"/>
        </w:trPr>
        <w:tc>
          <w:tcPr>
            <w:tcW w:w="1980" w:type="dxa"/>
            <w:vAlign w:val="center"/>
          </w:tcPr>
          <w:p w14:paraId="0EB6B5B7" w14:textId="77777777" w:rsidR="006B1439" w:rsidRDefault="006B1439" w:rsidP="00A14666">
            <w:pPr>
              <w:jc w:val="center"/>
              <w:rPr>
                <w:sz w:val="24"/>
              </w:rPr>
            </w:pPr>
            <w:r>
              <w:rPr>
                <w:rFonts w:hint="eastAsia"/>
                <w:sz w:val="24"/>
              </w:rPr>
              <w:t>联系人</w:t>
            </w:r>
          </w:p>
        </w:tc>
        <w:tc>
          <w:tcPr>
            <w:tcW w:w="2171" w:type="dxa"/>
            <w:vAlign w:val="center"/>
          </w:tcPr>
          <w:p w14:paraId="1265E9CD" w14:textId="77777777" w:rsidR="006B1439" w:rsidRDefault="006B1439" w:rsidP="00A14666">
            <w:pPr>
              <w:jc w:val="center"/>
              <w:rPr>
                <w:sz w:val="24"/>
              </w:rPr>
            </w:pPr>
            <w:r w:rsidRPr="00BD6374">
              <w:rPr>
                <w:rFonts w:hint="eastAsia"/>
                <w:sz w:val="24"/>
              </w:rPr>
              <w:t>王忠义</w:t>
            </w:r>
          </w:p>
        </w:tc>
        <w:tc>
          <w:tcPr>
            <w:tcW w:w="850" w:type="dxa"/>
            <w:vAlign w:val="center"/>
          </w:tcPr>
          <w:p w14:paraId="6AC7196A" w14:textId="77777777" w:rsidR="006B1439" w:rsidRDefault="006B1439" w:rsidP="00A14666">
            <w:pPr>
              <w:jc w:val="center"/>
              <w:rPr>
                <w:sz w:val="24"/>
              </w:rPr>
            </w:pPr>
            <w:r w:rsidRPr="00BD6374">
              <w:rPr>
                <w:rFonts w:hint="eastAsia"/>
                <w:sz w:val="24"/>
              </w:rPr>
              <w:t>地址</w:t>
            </w:r>
          </w:p>
        </w:tc>
        <w:tc>
          <w:tcPr>
            <w:tcW w:w="4234" w:type="dxa"/>
            <w:gridSpan w:val="2"/>
            <w:vAlign w:val="center"/>
          </w:tcPr>
          <w:p w14:paraId="7326DD55" w14:textId="77777777" w:rsidR="006B1439" w:rsidRDefault="006B1439" w:rsidP="00A14666">
            <w:pPr>
              <w:jc w:val="center"/>
              <w:rPr>
                <w:sz w:val="24"/>
              </w:rPr>
            </w:pPr>
            <w:r w:rsidRPr="00BD6374">
              <w:rPr>
                <w:rFonts w:hint="eastAsia"/>
                <w:sz w:val="24"/>
              </w:rPr>
              <w:t>哈尔滨市南通大街145号</w:t>
            </w:r>
          </w:p>
        </w:tc>
      </w:tr>
      <w:tr w:rsidR="006B1439" w14:paraId="5FF1FCED" w14:textId="77777777" w:rsidTr="00A14666">
        <w:trPr>
          <w:trHeight w:val="548"/>
          <w:jc w:val="center"/>
        </w:trPr>
        <w:tc>
          <w:tcPr>
            <w:tcW w:w="1980" w:type="dxa"/>
            <w:vAlign w:val="center"/>
          </w:tcPr>
          <w:p w14:paraId="4249AF34" w14:textId="77777777" w:rsidR="006B1439" w:rsidRDefault="006B1439" w:rsidP="00A14666">
            <w:pPr>
              <w:jc w:val="center"/>
              <w:rPr>
                <w:sz w:val="24"/>
              </w:rPr>
            </w:pPr>
            <w:r>
              <w:rPr>
                <w:rFonts w:hint="eastAsia"/>
                <w:sz w:val="24"/>
              </w:rPr>
              <w:t>电话</w:t>
            </w:r>
          </w:p>
        </w:tc>
        <w:tc>
          <w:tcPr>
            <w:tcW w:w="2171" w:type="dxa"/>
            <w:vAlign w:val="center"/>
          </w:tcPr>
          <w:p w14:paraId="1FD3448B" w14:textId="77777777" w:rsidR="006B1439" w:rsidRDefault="006B1439" w:rsidP="00A14666">
            <w:pPr>
              <w:jc w:val="center"/>
              <w:rPr>
                <w:sz w:val="24"/>
              </w:rPr>
            </w:pPr>
            <w:r w:rsidRPr="00BD6374">
              <w:rPr>
                <w:rFonts w:hAnsiTheme="minorEastAsia"/>
                <w:sz w:val="24"/>
              </w:rPr>
              <w:t>13936458832</w:t>
            </w:r>
          </w:p>
        </w:tc>
        <w:tc>
          <w:tcPr>
            <w:tcW w:w="850" w:type="dxa"/>
            <w:vAlign w:val="center"/>
          </w:tcPr>
          <w:p w14:paraId="06F95C7F" w14:textId="77777777" w:rsidR="006B1439" w:rsidRDefault="006B1439" w:rsidP="00A14666">
            <w:pPr>
              <w:jc w:val="center"/>
              <w:rPr>
                <w:sz w:val="24"/>
              </w:rPr>
            </w:pPr>
            <w:r w:rsidRPr="00BD6374">
              <w:rPr>
                <w:rFonts w:hAnsiTheme="minorEastAsia" w:hint="eastAsia"/>
                <w:sz w:val="24"/>
              </w:rPr>
              <w:t>邮箱</w:t>
            </w:r>
          </w:p>
        </w:tc>
        <w:tc>
          <w:tcPr>
            <w:tcW w:w="4234" w:type="dxa"/>
            <w:gridSpan w:val="2"/>
            <w:vAlign w:val="center"/>
          </w:tcPr>
          <w:p w14:paraId="275E1901" w14:textId="77777777" w:rsidR="006B1439" w:rsidRDefault="006B1439" w:rsidP="00A14666">
            <w:pPr>
              <w:jc w:val="center"/>
              <w:rPr>
                <w:sz w:val="24"/>
              </w:rPr>
            </w:pPr>
            <w:r w:rsidRPr="00BD6374">
              <w:rPr>
                <w:sz w:val="24"/>
              </w:rPr>
              <w:t>b205030024@126.com</w:t>
            </w:r>
          </w:p>
        </w:tc>
      </w:tr>
      <w:tr w:rsidR="006B1439" w14:paraId="186EF699" w14:textId="77777777" w:rsidTr="00A14666">
        <w:trPr>
          <w:trHeight w:val="960"/>
          <w:jc w:val="center"/>
        </w:trPr>
        <w:tc>
          <w:tcPr>
            <w:tcW w:w="1980" w:type="dxa"/>
            <w:vAlign w:val="center"/>
          </w:tcPr>
          <w:p w14:paraId="6180E776" w14:textId="77777777" w:rsidR="006B1439" w:rsidRDefault="006B1439" w:rsidP="00A14666">
            <w:pPr>
              <w:jc w:val="center"/>
              <w:rPr>
                <w:sz w:val="24"/>
              </w:rPr>
            </w:pPr>
            <w:r>
              <w:rPr>
                <w:rFonts w:hint="eastAsia"/>
                <w:sz w:val="24"/>
              </w:rPr>
              <w:t>技术与市场</w:t>
            </w:r>
          </w:p>
          <w:p w14:paraId="293C9221" w14:textId="77777777" w:rsidR="006B1439" w:rsidRDefault="006B1439" w:rsidP="00A14666">
            <w:pPr>
              <w:jc w:val="center"/>
              <w:rPr>
                <w:sz w:val="24"/>
              </w:rPr>
            </w:pPr>
            <w:r>
              <w:rPr>
                <w:rFonts w:hint="eastAsia"/>
                <w:sz w:val="24"/>
              </w:rPr>
              <w:t>发展背景</w:t>
            </w:r>
          </w:p>
        </w:tc>
        <w:tc>
          <w:tcPr>
            <w:tcW w:w="7255" w:type="dxa"/>
            <w:gridSpan w:val="4"/>
            <w:vAlign w:val="center"/>
          </w:tcPr>
          <w:p w14:paraId="13BEC3EC" w14:textId="26BA91F4" w:rsidR="006B1439" w:rsidRPr="002E21FD" w:rsidRDefault="006B1439" w:rsidP="00A14666">
            <w:pPr>
              <w:rPr>
                <w:rFonts w:ascii="宋体" w:eastAsia="宋体" w:hAnsi="Calibri"/>
                <w:sz w:val="24"/>
              </w:rPr>
            </w:pPr>
            <w:r w:rsidRPr="008F75B2">
              <w:rPr>
                <w:rFonts w:hint="eastAsia"/>
                <w:sz w:val="24"/>
                <w:lang w:val="en-US"/>
              </w:rPr>
              <w:t>极地船舶动力装置进气防冰除冰</w:t>
            </w:r>
            <w:r>
              <w:rPr>
                <w:rFonts w:hint="eastAsia"/>
                <w:sz w:val="24"/>
                <w:lang w:val="en-US"/>
              </w:rPr>
              <w:t>主要涉及积冰预警、积冰类型、</w:t>
            </w:r>
            <w:r w:rsidR="002E21FD">
              <w:rPr>
                <w:rFonts w:hint="eastAsia"/>
                <w:sz w:val="24"/>
                <w:lang w:val="en-US"/>
              </w:rPr>
              <w:t>防除冰及其监控系统。随着我国战略的调整，极地航线的布局等，现役船舶以及未来船舶动力装置均需加装进气防除冰系统，但目前未有系统完整的设计体系，继续开展防除冰规范建设。</w:t>
            </w:r>
          </w:p>
        </w:tc>
      </w:tr>
      <w:tr w:rsidR="006B1439" w14:paraId="5CB20380" w14:textId="77777777" w:rsidTr="00A14666">
        <w:trPr>
          <w:trHeight w:val="673"/>
          <w:jc w:val="center"/>
        </w:trPr>
        <w:tc>
          <w:tcPr>
            <w:tcW w:w="1980" w:type="dxa"/>
            <w:vAlign w:val="center"/>
          </w:tcPr>
          <w:p w14:paraId="73F71875" w14:textId="77777777" w:rsidR="006B1439" w:rsidRDefault="006B1439" w:rsidP="00A14666">
            <w:pPr>
              <w:jc w:val="center"/>
              <w:rPr>
                <w:sz w:val="24"/>
              </w:rPr>
            </w:pPr>
            <w:r>
              <w:rPr>
                <w:rFonts w:hint="eastAsia"/>
                <w:sz w:val="24"/>
              </w:rPr>
              <w:t>标准必要性和</w:t>
            </w:r>
          </w:p>
          <w:p w14:paraId="69722847" w14:textId="77777777" w:rsidR="006B1439" w:rsidRDefault="006B1439" w:rsidP="00A14666">
            <w:pPr>
              <w:jc w:val="center"/>
              <w:rPr>
                <w:sz w:val="24"/>
              </w:rPr>
            </w:pPr>
            <w:r>
              <w:rPr>
                <w:rFonts w:hint="eastAsia"/>
                <w:sz w:val="24"/>
              </w:rPr>
              <w:t>可行性</w:t>
            </w:r>
          </w:p>
        </w:tc>
        <w:tc>
          <w:tcPr>
            <w:tcW w:w="7255" w:type="dxa"/>
            <w:gridSpan w:val="4"/>
            <w:vAlign w:val="center"/>
          </w:tcPr>
          <w:p w14:paraId="5B801BA9" w14:textId="44A60F9C" w:rsidR="006B1439" w:rsidRPr="003F0615" w:rsidRDefault="006B1439" w:rsidP="00A14666">
            <w:pPr>
              <w:rPr>
                <w:sz w:val="24"/>
                <w:highlight w:val="yellow"/>
              </w:rPr>
            </w:pPr>
            <w:r>
              <w:rPr>
                <w:rFonts w:ascii="宋体" w:eastAsia="宋体" w:hAnsi="Calibri" w:hint="eastAsia"/>
                <w:sz w:val="24"/>
              </w:rPr>
              <w:t>船舶动力装置</w:t>
            </w:r>
            <w:r w:rsidRPr="006B1439">
              <w:rPr>
                <w:rFonts w:ascii="宋体" w:eastAsia="宋体" w:hAnsi="Calibri" w:hint="eastAsia"/>
                <w:sz w:val="24"/>
              </w:rPr>
              <w:t>结冰将堵塞进气流道造成船舶动力</w:t>
            </w:r>
            <w:r>
              <w:rPr>
                <w:rFonts w:ascii="宋体" w:eastAsia="宋体" w:hAnsi="Calibri" w:hint="eastAsia"/>
                <w:sz w:val="24"/>
              </w:rPr>
              <w:t>装置</w:t>
            </w:r>
            <w:r w:rsidRPr="006B1439">
              <w:rPr>
                <w:rFonts w:ascii="宋体" w:eastAsia="宋体" w:hAnsi="Calibri" w:hint="eastAsia"/>
                <w:sz w:val="24"/>
              </w:rPr>
              <w:t>性能下降、机械故障等，严重时冰脱落甚至会造成不可逆损伤，因此有必要制定船舶动力系统进气防除冰规范。</w:t>
            </w:r>
            <w:r>
              <w:rPr>
                <w:rFonts w:ascii="宋体" w:eastAsia="宋体" w:hAnsi="Calibri" w:hint="eastAsia"/>
                <w:sz w:val="24"/>
              </w:rPr>
              <w:t>研究团队针对积冰机理、积冰预警以及动力装置的</w:t>
            </w:r>
            <w:r w:rsidR="002E21FD">
              <w:rPr>
                <w:rFonts w:ascii="宋体" w:eastAsia="宋体" w:hAnsi="Calibri" w:hint="eastAsia"/>
                <w:sz w:val="24"/>
              </w:rPr>
              <w:t>防除冰开展了大量的研究工作，承担多项相关项目与装备研制工作，因此具有可行性。</w:t>
            </w:r>
          </w:p>
        </w:tc>
      </w:tr>
      <w:tr w:rsidR="006B1439" w14:paraId="3290FA7A" w14:textId="77777777" w:rsidTr="00A14666">
        <w:trPr>
          <w:trHeight w:val="702"/>
          <w:jc w:val="center"/>
        </w:trPr>
        <w:tc>
          <w:tcPr>
            <w:tcW w:w="1980" w:type="dxa"/>
            <w:vAlign w:val="center"/>
          </w:tcPr>
          <w:p w14:paraId="343D2EED" w14:textId="77777777" w:rsidR="006B1439" w:rsidRDefault="006B1439" w:rsidP="00A14666">
            <w:pPr>
              <w:jc w:val="center"/>
              <w:rPr>
                <w:rFonts w:ascii="宋体" w:hAnsi="宋体" w:hint="eastAsia"/>
                <w:sz w:val="24"/>
              </w:rPr>
            </w:pPr>
            <w:r>
              <w:rPr>
                <w:rFonts w:ascii="宋体" w:hAnsi="宋体" w:hint="eastAsia"/>
                <w:sz w:val="24"/>
              </w:rPr>
              <w:t>国内外情况</w:t>
            </w:r>
          </w:p>
          <w:p w14:paraId="2A3E0361" w14:textId="77777777" w:rsidR="006B1439" w:rsidRDefault="006B1439" w:rsidP="00A14666">
            <w:pPr>
              <w:jc w:val="center"/>
              <w:rPr>
                <w:sz w:val="24"/>
              </w:rPr>
            </w:pPr>
            <w:r>
              <w:rPr>
                <w:rFonts w:ascii="宋体" w:hAnsi="宋体" w:hint="eastAsia"/>
                <w:sz w:val="24"/>
              </w:rPr>
              <w:t>简要说明</w:t>
            </w:r>
          </w:p>
        </w:tc>
        <w:tc>
          <w:tcPr>
            <w:tcW w:w="7255" w:type="dxa"/>
            <w:gridSpan w:val="4"/>
            <w:vAlign w:val="center"/>
          </w:tcPr>
          <w:p w14:paraId="28146C71" w14:textId="54B45B8F" w:rsidR="006B1439" w:rsidRPr="003F0615" w:rsidRDefault="006B1439" w:rsidP="00A14666">
            <w:pPr>
              <w:rPr>
                <w:i/>
                <w:iCs/>
                <w:sz w:val="24"/>
                <w:highlight w:val="yellow"/>
              </w:rPr>
            </w:pPr>
            <w:r w:rsidRPr="006B1439">
              <w:rPr>
                <w:rFonts w:ascii="宋体" w:eastAsia="宋体" w:hAnsi="Calibri" w:hint="eastAsia"/>
                <w:sz w:val="24"/>
              </w:rPr>
              <w:t>目前国内船舶的行驶范围主要集中在温暖海域，面临的寒冷天气较少，几乎不存在结冰问题。欧美等发达国家在极地或寒冷航道航行的船舶动力系统均装备有进气防除冰装置，国内针对防除冰装置已经开展研究，部分设备已经上船，但随着北极航道开发与实施，无相关规范、标准制定。</w:t>
            </w:r>
          </w:p>
        </w:tc>
      </w:tr>
      <w:tr w:rsidR="006B1439" w14:paraId="16E1D84B" w14:textId="77777777" w:rsidTr="00A14666">
        <w:trPr>
          <w:trHeight w:val="1017"/>
          <w:jc w:val="center"/>
        </w:trPr>
        <w:tc>
          <w:tcPr>
            <w:tcW w:w="1980" w:type="dxa"/>
            <w:vAlign w:val="center"/>
          </w:tcPr>
          <w:p w14:paraId="7EE5E279" w14:textId="77777777" w:rsidR="006B1439" w:rsidRDefault="006B1439" w:rsidP="00A14666">
            <w:pPr>
              <w:jc w:val="center"/>
              <w:rPr>
                <w:sz w:val="24"/>
              </w:rPr>
            </w:pPr>
            <w:r>
              <w:rPr>
                <w:rFonts w:hint="eastAsia"/>
                <w:sz w:val="24"/>
              </w:rPr>
              <w:t>标准适用范围</w:t>
            </w:r>
          </w:p>
          <w:p w14:paraId="542E3916" w14:textId="77777777" w:rsidR="006B1439" w:rsidRDefault="006B1439" w:rsidP="00A14666">
            <w:pPr>
              <w:jc w:val="center"/>
              <w:rPr>
                <w:sz w:val="24"/>
              </w:rPr>
            </w:pPr>
            <w:r>
              <w:rPr>
                <w:rFonts w:hint="eastAsia"/>
                <w:sz w:val="24"/>
              </w:rPr>
              <w:t>和主要技术内容</w:t>
            </w:r>
          </w:p>
        </w:tc>
        <w:tc>
          <w:tcPr>
            <w:tcW w:w="7255" w:type="dxa"/>
            <w:gridSpan w:val="4"/>
            <w:vAlign w:val="center"/>
          </w:tcPr>
          <w:p w14:paraId="0C50E806" w14:textId="77777777" w:rsidR="006B1439" w:rsidRDefault="006B1439" w:rsidP="00A14666">
            <w:pPr>
              <w:rPr>
                <w:i/>
                <w:sz w:val="24"/>
                <w:u w:val="single"/>
              </w:rPr>
            </w:pPr>
            <w:r w:rsidRPr="00BD6374">
              <w:rPr>
                <w:rFonts w:hint="eastAsia"/>
                <w:sz w:val="24"/>
              </w:rPr>
              <w:t>本规范适用于船舶动力系统进气系统防除冰设计要求，积冰预警装置和防除冰装置的组成、安装、使用以及操作等。主要技术内容有船舶动力系统结冰积冰预警传感器的技术与安装要求，防除冰装置热源和结构形式技术要求，控制系统组成、监测内容、操作要求以及检验内容等。</w:t>
            </w:r>
          </w:p>
        </w:tc>
      </w:tr>
      <w:tr w:rsidR="006B1439" w14:paraId="0216BA8A" w14:textId="77777777" w:rsidTr="00A14666">
        <w:trPr>
          <w:trHeight w:val="955"/>
          <w:jc w:val="center"/>
        </w:trPr>
        <w:tc>
          <w:tcPr>
            <w:tcW w:w="1980" w:type="dxa"/>
            <w:vAlign w:val="center"/>
          </w:tcPr>
          <w:p w14:paraId="71336BDE" w14:textId="77777777" w:rsidR="006B1439" w:rsidRDefault="006B1439" w:rsidP="00A14666">
            <w:pPr>
              <w:widowControl/>
              <w:jc w:val="center"/>
              <w:rPr>
                <w:rFonts w:ascii="宋体" w:hAnsi="宋体" w:hint="eastAsia"/>
                <w:sz w:val="24"/>
              </w:rPr>
            </w:pPr>
            <w:r>
              <w:rPr>
                <w:rFonts w:ascii="宋体" w:hAnsi="宋体" w:hint="eastAsia"/>
                <w:sz w:val="24"/>
              </w:rPr>
              <w:t>工作进度安排</w:t>
            </w:r>
          </w:p>
        </w:tc>
        <w:tc>
          <w:tcPr>
            <w:tcW w:w="7255" w:type="dxa"/>
            <w:gridSpan w:val="4"/>
            <w:vAlign w:val="center"/>
          </w:tcPr>
          <w:p w14:paraId="1699D622" w14:textId="77777777" w:rsidR="00245A6E" w:rsidRDefault="006B1439" w:rsidP="00A14666">
            <w:pPr>
              <w:rPr>
                <w:sz w:val="24"/>
              </w:rPr>
            </w:pPr>
            <w:r w:rsidRPr="00245A6E">
              <w:rPr>
                <w:rFonts w:hint="eastAsia"/>
                <w:sz w:val="24"/>
              </w:rPr>
              <w:t>草案提交</w:t>
            </w:r>
            <w:r w:rsidR="00245A6E">
              <w:rPr>
                <w:rFonts w:hint="eastAsia"/>
                <w:sz w:val="24"/>
              </w:rPr>
              <w:t>-2025年2月</w:t>
            </w:r>
          </w:p>
          <w:p w14:paraId="22E78570" w14:textId="4B8AF63E" w:rsidR="00245A6E" w:rsidRDefault="006B1439" w:rsidP="00A14666">
            <w:pPr>
              <w:rPr>
                <w:sz w:val="24"/>
              </w:rPr>
            </w:pPr>
            <w:r w:rsidRPr="00245A6E">
              <w:rPr>
                <w:rFonts w:hint="eastAsia"/>
                <w:sz w:val="24"/>
              </w:rPr>
              <w:t>预期立项</w:t>
            </w:r>
            <w:r w:rsidR="00245A6E">
              <w:rPr>
                <w:rFonts w:hint="eastAsia"/>
                <w:sz w:val="24"/>
              </w:rPr>
              <w:t>-2025年3月</w:t>
            </w:r>
          </w:p>
          <w:p w14:paraId="5CBE0D72" w14:textId="2D158A88" w:rsidR="006B1439" w:rsidRPr="00505991" w:rsidRDefault="006B1439" w:rsidP="00A14666">
            <w:pPr>
              <w:rPr>
                <w:i/>
                <w:iCs/>
                <w:sz w:val="24"/>
              </w:rPr>
            </w:pPr>
            <w:r w:rsidRPr="00245A6E">
              <w:rPr>
                <w:rFonts w:hint="eastAsia"/>
                <w:sz w:val="24"/>
              </w:rPr>
              <w:t>发布时间</w:t>
            </w:r>
            <w:r w:rsidR="00245A6E">
              <w:rPr>
                <w:rFonts w:hint="eastAsia"/>
                <w:sz w:val="24"/>
              </w:rPr>
              <w:t>-2025年9月</w:t>
            </w:r>
          </w:p>
        </w:tc>
      </w:tr>
      <w:tr w:rsidR="006B1439" w14:paraId="07E5911A" w14:textId="77777777" w:rsidTr="00A14666">
        <w:trPr>
          <w:trHeight w:val="1035"/>
          <w:jc w:val="center"/>
        </w:trPr>
        <w:tc>
          <w:tcPr>
            <w:tcW w:w="1980" w:type="dxa"/>
            <w:vAlign w:val="center"/>
          </w:tcPr>
          <w:p w14:paraId="3CFEF7BB" w14:textId="77777777" w:rsidR="006B1439" w:rsidRDefault="006B1439" w:rsidP="00A14666">
            <w:pPr>
              <w:widowControl/>
              <w:jc w:val="center"/>
              <w:rPr>
                <w:rFonts w:ascii="宋体" w:hAnsi="宋体" w:hint="eastAsia"/>
                <w:sz w:val="24"/>
              </w:rPr>
            </w:pPr>
            <w:r>
              <w:rPr>
                <w:rFonts w:ascii="宋体" w:hAnsi="宋体" w:hint="eastAsia"/>
                <w:sz w:val="24"/>
              </w:rPr>
              <w:t>标准预期实施</w:t>
            </w:r>
          </w:p>
          <w:p w14:paraId="1C72923C" w14:textId="77777777" w:rsidR="006B1439" w:rsidRDefault="006B1439" w:rsidP="00A14666">
            <w:pPr>
              <w:widowControl/>
              <w:jc w:val="center"/>
              <w:rPr>
                <w:rFonts w:ascii="宋体" w:hAnsi="宋体" w:hint="eastAsia"/>
                <w:sz w:val="24"/>
              </w:rPr>
            </w:pPr>
            <w:r>
              <w:rPr>
                <w:rFonts w:ascii="宋体" w:hAnsi="宋体" w:hint="eastAsia"/>
                <w:sz w:val="24"/>
              </w:rPr>
              <w:t>应用方案</w:t>
            </w:r>
          </w:p>
        </w:tc>
        <w:tc>
          <w:tcPr>
            <w:tcW w:w="7255" w:type="dxa"/>
            <w:gridSpan w:val="4"/>
            <w:vAlign w:val="center"/>
          </w:tcPr>
          <w:p w14:paraId="7260D558" w14:textId="2AAFDFC0" w:rsidR="006B1439" w:rsidRPr="00245A6E" w:rsidRDefault="00245A6E" w:rsidP="00A14666">
            <w:pPr>
              <w:rPr>
                <w:sz w:val="24"/>
              </w:rPr>
            </w:pPr>
            <w:r>
              <w:rPr>
                <w:rFonts w:hint="eastAsia"/>
                <w:sz w:val="24"/>
              </w:rPr>
              <w:t>标准发布后，团队成员或相关制造商可</w:t>
            </w:r>
            <w:r w:rsidRPr="00245A6E">
              <w:rPr>
                <w:sz w:val="24"/>
              </w:rPr>
              <w:t>按照标准要求开展生产、经营等活动，确保产品和服务符合标准规定。同时，相关协会或标准化机构将对标准的实施情况进行监督检查，及时发现和纠正不符合标准的行为，保障标准的有效执行</w:t>
            </w:r>
            <w:r>
              <w:rPr>
                <w:rFonts w:hint="eastAsia"/>
                <w:sz w:val="24"/>
              </w:rPr>
              <w:t>。</w:t>
            </w:r>
          </w:p>
        </w:tc>
      </w:tr>
      <w:tr w:rsidR="006B1439" w14:paraId="6797F509" w14:textId="77777777" w:rsidTr="00A14666">
        <w:trPr>
          <w:trHeight w:val="512"/>
          <w:jc w:val="center"/>
        </w:trPr>
        <w:tc>
          <w:tcPr>
            <w:tcW w:w="1980" w:type="dxa"/>
            <w:vAlign w:val="center"/>
          </w:tcPr>
          <w:p w14:paraId="0CFC36F0" w14:textId="77777777" w:rsidR="006B1439" w:rsidRDefault="006B1439" w:rsidP="00A14666">
            <w:pPr>
              <w:widowControl/>
              <w:jc w:val="center"/>
              <w:rPr>
                <w:rFonts w:ascii="宋体" w:hAnsi="宋体" w:hint="eastAsia"/>
                <w:sz w:val="24"/>
              </w:rPr>
            </w:pPr>
            <w:r>
              <w:rPr>
                <w:rFonts w:ascii="宋体" w:hAnsi="宋体" w:hint="eastAsia"/>
                <w:sz w:val="24"/>
              </w:rPr>
              <w:lastRenderedPageBreak/>
              <w:t>经费保障</w:t>
            </w:r>
          </w:p>
        </w:tc>
        <w:tc>
          <w:tcPr>
            <w:tcW w:w="7255" w:type="dxa"/>
            <w:gridSpan w:val="4"/>
            <w:vAlign w:val="center"/>
          </w:tcPr>
          <w:p w14:paraId="42D45A46" w14:textId="24A41A46" w:rsidR="006B1439" w:rsidRPr="00505991" w:rsidRDefault="006B1439" w:rsidP="00A14666">
            <w:pPr>
              <w:rPr>
                <w:i/>
                <w:iCs/>
                <w:sz w:val="24"/>
              </w:rPr>
            </w:pPr>
            <w:r w:rsidRPr="006B1439">
              <w:rPr>
                <w:rFonts w:hint="eastAsia"/>
                <w:sz w:val="24"/>
              </w:rPr>
              <w:t>提供团体标准编制所需的经费</w:t>
            </w:r>
          </w:p>
        </w:tc>
      </w:tr>
      <w:tr w:rsidR="006B1439" w14:paraId="24AB7D67" w14:textId="77777777" w:rsidTr="00A14666">
        <w:trPr>
          <w:trHeight w:val="1134"/>
          <w:jc w:val="center"/>
        </w:trPr>
        <w:tc>
          <w:tcPr>
            <w:tcW w:w="1980" w:type="dxa"/>
            <w:vAlign w:val="center"/>
          </w:tcPr>
          <w:p w14:paraId="4BA050A8" w14:textId="77777777" w:rsidR="006B1439" w:rsidRDefault="006B1439" w:rsidP="00A14666">
            <w:pPr>
              <w:widowControl/>
              <w:jc w:val="center"/>
              <w:rPr>
                <w:rFonts w:ascii="宋体" w:hAnsi="宋体" w:hint="eastAsia"/>
                <w:sz w:val="24"/>
              </w:rPr>
            </w:pPr>
            <w:r>
              <w:rPr>
                <w:rFonts w:ascii="宋体" w:hAnsi="宋体" w:hint="eastAsia"/>
                <w:sz w:val="24"/>
              </w:rPr>
              <w:t>技术基础及</w:t>
            </w:r>
          </w:p>
          <w:p w14:paraId="60431692" w14:textId="77777777" w:rsidR="006B1439" w:rsidRDefault="006B1439" w:rsidP="00A14666">
            <w:pPr>
              <w:widowControl/>
              <w:jc w:val="center"/>
              <w:rPr>
                <w:rFonts w:ascii="宋体" w:hAnsi="宋体" w:hint="eastAsia"/>
                <w:sz w:val="24"/>
              </w:rPr>
            </w:pPr>
            <w:r>
              <w:rPr>
                <w:rFonts w:ascii="宋体" w:hAnsi="宋体" w:hint="eastAsia"/>
                <w:sz w:val="24"/>
              </w:rPr>
              <w:t>研究团队</w:t>
            </w:r>
          </w:p>
        </w:tc>
        <w:tc>
          <w:tcPr>
            <w:tcW w:w="7255" w:type="dxa"/>
            <w:gridSpan w:val="4"/>
            <w:vAlign w:val="center"/>
          </w:tcPr>
          <w:p w14:paraId="08C5BB34" w14:textId="4658709F" w:rsidR="006B1439" w:rsidRPr="00505991" w:rsidRDefault="002E21FD" w:rsidP="00A14666">
            <w:pPr>
              <w:rPr>
                <w:i/>
                <w:iCs/>
                <w:sz w:val="24"/>
              </w:rPr>
            </w:pPr>
            <w:r>
              <w:rPr>
                <w:rFonts w:ascii="Times New Roman" w:eastAsia="宋体" w:hAnsi="Times New Roman" w:hint="eastAsia"/>
                <w:snapToGrid/>
                <w:kern w:val="2"/>
                <w:sz w:val="24"/>
                <w:lang w:val="en-US"/>
              </w:rPr>
              <w:t>研究团队前期承担了多项积冰与防除冰研究项目，</w:t>
            </w:r>
            <w:r w:rsidRPr="002E21FD">
              <w:rPr>
                <w:rFonts w:ascii="Times New Roman" w:eastAsia="宋体" w:hAnsi="Times New Roman" w:hint="eastAsia"/>
                <w:snapToGrid/>
                <w:kern w:val="2"/>
                <w:sz w:val="24"/>
                <w:lang w:val="en-US"/>
              </w:rPr>
              <w:t>主要开展</w:t>
            </w:r>
            <w:r>
              <w:rPr>
                <w:rFonts w:ascii="Times New Roman" w:eastAsia="宋体" w:hAnsi="Times New Roman" w:hint="eastAsia"/>
                <w:snapToGrid/>
                <w:kern w:val="2"/>
                <w:sz w:val="24"/>
                <w:lang w:val="en-US"/>
              </w:rPr>
              <w:t>动力系统</w:t>
            </w:r>
            <w:r w:rsidRPr="002E21FD">
              <w:rPr>
                <w:rFonts w:ascii="Times New Roman" w:eastAsia="宋体" w:hAnsi="Times New Roman" w:hint="eastAsia"/>
                <w:snapToGrid/>
                <w:kern w:val="2"/>
                <w:sz w:val="24"/>
                <w:lang w:val="en-US"/>
              </w:rPr>
              <w:t>进气系统积冰边界条件，并在此基础上开展进气道及</w:t>
            </w:r>
            <w:r>
              <w:rPr>
                <w:rFonts w:ascii="Times New Roman" w:eastAsia="宋体" w:hAnsi="Times New Roman" w:hint="eastAsia"/>
                <w:snapToGrid/>
                <w:kern w:val="2"/>
                <w:sz w:val="24"/>
                <w:lang w:val="en-US"/>
              </w:rPr>
              <w:t>动力装置</w:t>
            </w:r>
            <w:r w:rsidRPr="002E21FD">
              <w:rPr>
                <w:rFonts w:ascii="Times New Roman" w:eastAsia="宋体" w:hAnsi="Times New Roman" w:hint="eastAsia"/>
                <w:snapToGrid/>
                <w:kern w:val="2"/>
                <w:sz w:val="24"/>
                <w:lang w:val="en-US"/>
              </w:rPr>
              <w:t>结构件防除冰方法研究，确定了不同环境下</w:t>
            </w:r>
            <w:r>
              <w:rPr>
                <w:rFonts w:ascii="Times New Roman" w:eastAsia="宋体" w:hAnsi="Times New Roman" w:hint="eastAsia"/>
                <w:snapToGrid/>
                <w:kern w:val="2"/>
                <w:sz w:val="24"/>
                <w:lang w:val="en-US"/>
              </w:rPr>
              <w:t>动力装置</w:t>
            </w:r>
            <w:r w:rsidRPr="002E21FD">
              <w:rPr>
                <w:rFonts w:ascii="Times New Roman" w:eastAsia="宋体" w:hAnsi="Times New Roman" w:hint="eastAsia"/>
                <w:snapToGrid/>
                <w:kern w:val="2"/>
                <w:sz w:val="24"/>
                <w:lang w:val="en-US"/>
              </w:rPr>
              <w:t>进气系统的积冰位置及积冰冰型的增长规律，获得了不同运行环境下的积冰边界图像，掌握了引气防除冰、内源换热式防除冰方案设计等。</w:t>
            </w:r>
          </w:p>
        </w:tc>
      </w:tr>
      <w:tr w:rsidR="006B1439" w14:paraId="6DC12B01" w14:textId="77777777" w:rsidTr="00A14666">
        <w:trPr>
          <w:trHeight w:val="1124"/>
          <w:jc w:val="center"/>
        </w:trPr>
        <w:tc>
          <w:tcPr>
            <w:tcW w:w="1980" w:type="dxa"/>
            <w:vAlign w:val="center"/>
          </w:tcPr>
          <w:p w14:paraId="61F6A525" w14:textId="77777777" w:rsidR="006B1439" w:rsidRDefault="006B1439" w:rsidP="00A14666">
            <w:pPr>
              <w:jc w:val="center"/>
              <w:rPr>
                <w:rFonts w:ascii="宋体" w:hAnsi="宋体" w:hint="eastAsia"/>
                <w:sz w:val="24"/>
              </w:rPr>
            </w:pPr>
            <w:r>
              <w:rPr>
                <w:rFonts w:ascii="宋体" w:hAnsi="宋体" w:hint="eastAsia"/>
                <w:sz w:val="24"/>
              </w:rPr>
              <w:t>申请立项单位</w:t>
            </w:r>
          </w:p>
          <w:p w14:paraId="4E2A5648" w14:textId="77777777" w:rsidR="006B1439" w:rsidRDefault="006B1439" w:rsidP="00A14666">
            <w:pPr>
              <w:jc w:val="center"/>
              <w:rPr>
                <w:rFonts w:ascii="宋体" w:hAnsi="宋体" w:hint="eastAsia"/>
                <w:sz w:val="24"/>
              </w:rPr>
            </w:pPr>
            <w:r>
              <w:rPr>
                <w:rFonts w:ascii="宋体" w:hAnsi="宋体" w:hint="eastAsia"/>
                <w:sz w:val="24"/>
              </w:rPr>
              <w:t>意见</w:t>
            </w:r>
          </w:p>
        </w:tc>
        <w:tc>
          <w:tcPr>
            <w:tcW w:w="7255" w:type="dxa"/>
            <w:gridSpan w:val="4"/>
            <w:vAlign w:val="bottom"/>
          </w:tcPr>
          <w:p w14:paraId="493CD9D4" w14:textId="77777777" w:rsidR="006B1439" w:rsidRDefault="006B1439" w:rsidP="00A14666">
            <w:pPr>
              <w:wordWrap w:val="0"/>
              <w:jc w:val="right"/>
              <w:rPr>
                <w:sz w:val="24"/>
              </w:rPr>
            </w:pPr>
            <w:r>
              <w:rPr>
                <w:rFonts w:hint="eastAsia"/>
                <w:sz w:val="24"/>
              </w:rPr>
              <w:t xml:space="preserve">（盖章）                                          </w:t>
            </w:r>
          </w:p>
          <w:p w14:paraId="3E7D7368" w14:textId="77777777" w:rsidR="006B1439" w:rsidRDefault="006B1439" w:rsidP="00A14666">
            <w:pPr>
              <w:jc w:val="right"/>
              <w:rPr>
                <w:rFonts w:ascii="黑体" w:eastAsia="黑体" w:hAnsi="宋体" w:hint="eastAsia"/>
                <w:color w:val="000000"/>
                <w:sz w:val="24"/>
              </w:rPr>
            </w:pPr>
            <w:r>
              <w:rPr>
                <w:rFonts w:hint="eastAsia"/>
                <w:sz w:val="24"/>
              </w:rPr>
              <w:t>年   月   日</w:t>
            </w:r>
          </w:p>
        </w:tc>
      </w:tr>
    </w:tbl>
    <w:p w14:paraId="269BB77B" w14:textId="77777777" w:rsidR="006B1439" w:rsidRPr="00C3423D" w:rsidRDefault="006B1439" w:rsidP="006B1439">
      <w:pPr>
        <w:jc w:val="left"/>
        <w:rPr>
          <w:rFonts w:ascii="仿宋_GB2312" w:eastAsia="仿宋_GB2312"/>
          <w:sz w:val="24"/>
        </w:rPr>
      </w:pPr>
      <w:r>
        <w:rPr>
          <w:rFonts w:hAnsiTheme="minorEastAsia" w:hint="eastAsia"/>
        </w:rPr>
        <w:t>注：如本表空间不够，可另附页。</w:t>
      </w:r>
    </w:p>
    <w:p w14:paraId="48BD3A6E" w14:textId="77777777" w:rsidR="005E7D40" w:rsidRPr="006B1439" w:rsidRDefault="005E7D40" w:rsidP="00C3423D">
      <w:pPr>
        <w:jc w:val="left"/>
        <w:rPr>
          <w:rFonts w:ascii="仿宋_GB2312" w:eastAsia="仿宋_GB2312"/>
          <w:sz w:val="24"/>
        </w:rPr>
      </w:pPr>
    </w:p>
    <w:sectPr w:rsidR="005E7D40" w:rsidRPr="006B14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6E072" w14:textId="77777777" w:rsidR="00786135" w:rsidRDefault="00786135" w:rsidP="00C3423D">
      <w:r>
        <w:separator/>
      </w:r>
    </w:p>
  </w:endnote>
  <w:endnote w:type="continuationSeparator" w:id="0">
    <w:p w14:paraId="4287C1D3" w14:textId="77777777" w:rsidR="00786135" w:rsidRDefault="00786135" w:rsidP="00C3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10F6D" w14:textId="77777777" w:rsidR="00786135" w:rsidRDefault="00786135" w:rsidP="00C3423D">
      <w:r>
        <w:separator/>
      </w:r>
    </w:p>
  </w:footnote>
  <w:footnote w:type="continuationSeparator" w:id="0">
    <w:p w14:paraId="003C58A3" w14:textId="77777777" w:rsidR="00786135" w:rsidRDefault="00786135" w:rsidP="00C342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E3NGM4NmY1MTk1MDk2NTNiMjc3M2IzNDk5N2FhNDYifQ=="/>
  </w:docVars>
  <w:rsids>
    <w:rsidRoot w:val="00EB3B78"/>
    <w:rsid w:val="00086112"/>
    <w:rsid w:val="001F297D"/>
    <w:rsid w:val="00225B8A"/>
    <w:rsid w:val="00245A6E"/>
    <w:rsid w:val="00272809"/>
    <w:rsid w:val="002E21FD"/>
    <w:rsid w:val="003949D6"/>
    <w:rsid w:val="003B4EDA"/>
    <w:rsid w:val="003F0615"/>
    <w:rsid w:val="00505991"/>
    <w:rsid w:val="005974E8"/>
    <w:rsid w:val="005E7D40"/>
    <w:rsid w:val="006771A0"/>
    <w:rsid w:val="006B1439"/>
    <w:rsid w:val="0070765F"/>
    <w:rsid w:val="00786135"/>
    <w:rsid w:val="007A51E6"/>
    <w:rsid w:val="008231B1"/>
    <w:rsid w:val="00837D5D"/>
    <w:rsid w:val="008F75B2"/>
    <w:rsid w:val="00915110"/>
    <w:rsid w:val="00926D95"/>
    <w:rsid w:val="00A07160"/>
    <w:rsid w:val="00B179E9"/>
    <w:rsid w:val="00B439F8"/>
    <w:rsid w:val="00B55869"/>
    <w:rsid w:val="00BF659F"/>
    <w:rsid w:val="00C3423D"/>
    <w:rsid w:val="00EB3B78"/>
    <w:rsid w:val="00EC1447"/>
    <w:rsid w:val="00F63572"/>
    <w:rsid w:val="00FC22B1"/>
    <w:rsid w:val="01D65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66B633"/>
  <w15:docId w15:val="{5FB0D872-7809-4EC0-AEAC-1C647C875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cs="Times New Roman"/>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a5"/>
    <w:uiPriority w:val="99"/>
    <w:unhideWhenUsed/>
    <w:rsid w:val="00C3423D"/>
    <w:pPr>
      <w:tabs>
        <w:tab w:val="center" w:pos="4153"/>
        <w:tab w:val="right" w:pos="8306"/>
      </w:tabs>
      <w:snapToGrid w:val="0"/>
      <w:jc w:val="center"/>
    </w:pPr>
    <w:rPr>
      <w:sz w:val="18"/>
      <w:szCs w:val="18"/>
    </w:rPr>
  </w:style>
  <w:style w:type="character" w:customStyle="1" w:styleId="a5">
    <w:name w:val="页眉 字符"/>
    <w:basedOn w:val="a0"/>
    <w:link w:val="a4"/>
    <w:uiPriority w:val="99"/>
    <w:rsid w:val="00C3423D"/>
    <w:rPr>
      <w:rFonts w:asciiTheme="minorEastAsia" w:cs="Times New Roman"/>
      <w:snapToGrid w:val="0"/>
      <w:sz w:val="18"/>
      <w:szCs w:val="18"/>
      <w:lang w:val="en-GB"/>
    </w:rPr>
  </w:style>
  <w:style w:type="paragraph" w:styleId="a6">
    <w:name w:val="footer"/>
    <w:basedOn w:val="a"/>
    <w:link w:val="a7"/>
    <w:uiPriority w:val="99"/>
    <w:unhideWhenUsed/>
    <w:rsid w:val="00C3423D"/>
    <w:pPr>
      <w:tabs>
        <w:tab w:val="center" w:pos="4153"/>
        <w:tab w:val="right" w:pos="8306"/>
      </w:tabs>
      <w:snapToGrid w:val="0"/>
      <w:jc w:val="left"/>
    </w:pPr>
    <w:rPr>
      <w:sz w:val="18"/>
      <w:szCs w:val="18"/>
    </w:rPr>
  </w:style>
  <w:style w:type="character" w:customStyle="1" w:styleId="a7">
    <w:name w:val="页脚 字符"/>
    <w:basedOn w:val="a0"/>
    <w:link w:val="a6"/>
    <w:uiPriority w:val="99"/>
    <w:rsid w:val="00C3423D"/>
    <w:rPr>
      <w:rFonts w:asciiTheme="minorEastAsia" w:cs="Times New Roman"/>
      <w:snapToGrid w:val="0"/>
      <w:sz w:val="18"/>
      <w:szCs w:val="18"/>
      <w:lang w:val="en-GB"/>
    </w:rPr>
  </w:style>
  <w:style w:type="paragraph" w:customStyle="1" w:styleId="a8">
    <w:name w:val="标准文件_段"/>
    <w:link w:val="Char"/>
    <w:rsid w:val="001F297D"/>
    <w:pPr>
      <w:autoSpaceDE w:val="0"/>
      <w:autoSpaceDN w:val="0"/>
      <w:ind w:firstLineChars="200" w:firstLine="200"/>
      <w:jc w:val="both"/>
    </w:pPr>
    <w:rPr>
      <w:rFonts w:ascii="宋体" w:eastAsia="宋体" w:hAnsi="Times New Roman" w:cs="Times New Roman"/>
      <w:noProof/>
      <w:sz w:val="21"/>
    </w:rPr>
  </w:style>
  <w:style w:type="character" w:customStyle="1" w:styleId="Char">
    <w:name w:val="标准文件_段 Char"/>
    <w:link w:val="a8"/>
    <w:rsid w:val="001F297D"/>
    <w:rPr>
      <w:rFonts w:ascii="宋体" w:eastAsia="宋体" w:hAnsi="Times New Roman" w:cs="Times New Roman"/>
      <w:noProof/>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195</Words>
  <Characters>1112</Characters>
  <Application>Microsoft Office Word</Application>
  <DocSecurity>0</DocSecurity>
  <Lines>9</Lines>
  <Paragraphs>2</Paragraphs>
  <ScaleCrop>false</ScaleCrop>
  <Company>Microsoft</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PM</cp:lastModifiedBy>
  <cp:revision>5</cp:revision>
  <dcterms:created xsi:type="dcterms:W3CDTF">2025-03-12T16:09:00Z</dcterms:created>
  <dcterms:modified xsi:type="dcterms:W3CDTF">2025-03-14T02:58:00Z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2052-11.1.0.11797</vt:lpwstr>
  </property>
  <property fmtid="{D5CDD505-2E9C-101B-9397-08002B2CF9AE}" pid="3" name="ICV">
    <vt:lpwstr>0A99FF815B694A5EA2DF4C6F1DFF22E9</vt:lpwstr>
  </property>
</Properties>
</file>