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1FDE6" w14:textId="77777777" w:rsidR="008524D2" w:rsidRDefault="00A25B93">
      <w:pPr>
        <w:spacing w:line="360" w:lineRule="auto"/>
        <w:jc w:val="left"/>
        <w:outlineLvl w:val="0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4CE63320" w14:textId="77777777" w:rsidR="008524D2" w:rsidRDefault="00A25B93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425"/>
        <w:gridCol w:w="425"/>
        <w:gridCol w:w="851"/>
        <w:gridCol w:w="709"/>
        <w:gridCol w:w="2674"/>
      </w:tblGrid>
      <w:tr w:rsidR="008524D2" w14:paraId="519FE3E7" w14:textId="77777777">
        <w:trPr>
          <w:trHeight w:val="605"/>
          <w:jc w:val="center"/>
        </w:trPr>
        <w:tc>
          <w:tcPr>
            <w:tcW w:w="1980" w:type="dxa"/>
            <w:vAlign w:val="center"/>
          </w:tcPr>
          <w:p w14:paraId="364432E9" w14:textId="77777777" w:rsidR="008524D2" w:rsidRDefault="00A25B9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项目名称（中文）</w:t>
            </w:r>
          </w:p>
        </w:tc>
        <w:tc>
          <w:tcPr>
            <w:tcW w:w="7255" w:type="dxa"/>
            <w:gridSpan w:val="6"/>
            <w:vAlign w:val="center"/>
          </w:tcPr>
          <w:p w14:paraId="7161D7C7" w14:textId="08265B86" w:rsidR="008524D2" w:rsidRDefault="00A25B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船舶总装建造数字化转型</w:t>
            </w:r>
            <w:r w:rsidR="009867A7">
              <w:rPr>
                <w:rFonts w:hint="eastAsia"/>
                <w:sz w:val="24"/>
                <w:szCs w:val="24"/>
              </w:rPr>
              <w:t>成熟度评估</w:t>
            </w:r>
            <w:r>
              <w:rPr>
                <w:rFonts w:hint="eastAsia"/>
                <w:sz w:val="24"/>
                <w:szCs w:val="24"/>
              </w:rPr>
              <w:t>模型</w:t>
            </w:r>
          </w:p>
        </w:tc>
      </w:tr>
      <w:tr w:rsidR="008524D2" w14:paraId="5BA3672A" w14:textId="77777777">
        <w:trPr>
          <w:trHeight w:val="605"/>
          <w:jc w:val="center"/>
        </w:trPr>
        <w:tc>
          <w:tcPr>
            <w:tcW w:w="1980" w:type="dxa"/>
            <w:vAlign w:val="center"/>
          </w:tcPr>
          <w:p w14:paraId="7DF7036F" w14:textId="77777777" w:rsidR="008524D2" w:rsidRDefault="00A25B9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项目名称（英文）</w:t>
            </w:r>
          </w:p>
        </w:tc>
        <w:tc>
          <w:tcPr>
            <w:tcW w:w="7255" w:type="dxa"/>
            <w:gridSpan w:val="6"/>
            <w:vAlign w:val="center"/>
          </w:tcPr>
          <w:p w14:paraId="084BB675" w14:textId="77777777" w:rsidR="008524D2" w:rsidRDefault="00A25B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Evaluation Model for Digital Transformation of Ship Final Assembly Construction</w:t>
            </w:r>
          </w:p>
        </w:tc>
      </w:tr>
      <w:tr w:rsidR="008524D2" w14:paraId="539295FC" w14:textId="77777777">
        <w:trPr>
          <w:trHeight w:val="540"/>
          <w:jc w:val="center"/>
        </w:trPr>
        <w:tc>
          <w:tcPr>
            <w:tcW w:w="1980" w:type="dxa"/>
            <w:vAlign w:val="center"/>
          </w:tcPr>
          <w:p w14:paraId="26B9AD19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71" w:type="dxa"/>
            <w:vAlign w:val="center"/>
          </w:tcPr>
          <w:p w14:paraId="3C324EB5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☑</w:t>
            </w:r>
            <w:r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71023930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7D58D28E" w14:textId="77777777" w:rsidR="008524D2" w:rsidRDefault="008524D2">
            <w:pPr>
              <w:rPr>
                <w:sz w:val="24"/>
              </w:rPr>
            </w:pPr>
          </w:p>
        </w:tc>
      </w:tr>
      <w:tr w:rsidR="008524D2" w14:paraId="58317CBD" w14:textId="77777777">
        <w:trPr>
          <w:trHeight w:val="540"/>
          <w:jc w:val="center"/>
        </w:trPr>
        <w:tc>
          <w:tcPr>
            <w:tcW w:w="1980" w:type="dxa"/>
            <w:vAlign w:val="center"/>
          </w:tcPr>
          <w:p w14:paraId="3990BCE3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00AB303A" w14:textId="77777777" w:rsidR="008524D2" w:rsidRDefault="008524D2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265D9CB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3383" w:type="dxa"/>
            <w:gridSpan w:val="2"/>
            <w:vAlign w:val="center"/>
          </w:tcPr>
          <w:p w14:paraId="5861077A" w14:textId="77777777" w:rsidR="008524D2" w:rsidRDefault="00A25B93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 xml:space="preserve">□12个月  </w:t>
            </w:r>
            <w:r>
              <w:rPr>
                <w:rFonts w:ascii="宋体" w:hAnsi="宋体" w:hint="eastAsia"/>
                <w:sz w:val="24"/>
                <w:szCs w:val="24"/>
              </w:rPr>
              <w:t>☑</w:t>
            </w:r>
            <w:r>
              <w:rPr>
                <w:rFonts w:hAnsiTheme="minorEastAsia" w:hint="eastAsia"/>
                <w:sz w:val="24"/>
              </w:rPr>
              <w:t xml:space="preserve">18个月   </w:t>
            </w:r>
          </w:p>
          <w:p w14:paraId="1D68CA9C" w14:textId="77777777" w:rsidR="008524D2" w:rsidRDefault="00A25B93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□其他</w:t>
            </w:r>
          </w:p>
        </w:tc>
      </w:tr>
      <w:tr w:rsidR="008524D2" w14:paraId="364BF611" w14:textId="77777777">
        <w:trPr>
          <w:trHeight w:val="548"/>
          <w:jc w:val="center"/>
        </w:trPr>
        <w:tc>
          <w:tcPr>
            <w:tcW w:w="1980" w:type="dxa"/>
            <w:vAlign w:val="center"/>
          </w:tcPr>
          <w:p w14:paraId="7D8B5618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  <w:p w14:paraId="6572C516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（不少于3家）</w:t>
            </w:r>
          </w:p>
        </w:tc>
        <w:tc>
          <w:tcPr>
            <w:tcW w:w="7255" w:type="dxa"/>
            <w:gridSpan w:val="6"/>
            <w:vAlign w:val="center"/>
          </w:tcPr>
          <w:p w14:paraId="7EFFCC42" w14:textId="5426AA9F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中国船舶集团有限公司第七一六研究所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、</w:t>
            </w:r>
            <w:r>
              <w:rPr>
                <w:rFonts w:hint="eastAsia"/>
                <w:sz w:val="24"/>
                <w:szCs w:val="24"/>
                <w:lang w:val="en-US"/>
              </w:rPr>
              <w:t>中国船舶集团有限公司综合技术经济研究院、上海交通大学、上海外高桥造船有限公司、中远海运重工有限公司、江南造船厂、广船国际造船厂、沪东中华造船集团有限公司、招商局邮轮制造有限公司、江苏科技大学、中国矿业大学</w:t>
            </w:r>
          </w:p>
        </w:tc>
      </w:tr>
      <w:tr w:rsidR="008524D2" w14:paraId="11337F18" w14:textId="77777777">
        <w:trPr>
          <w:trHeight w:val="548"/>
          <w:jc w:val="center"/>
        </w:trPr>
        <w:tc>
          <w:tcPr>
            <w:tcW w:w="1980" w:type="dxa"/>
            <w:vAlign w:val="center"/>
          </w:tcPr>
          <w:p w14:paraId="1B2BA7D8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71" w:type="dxa"/>
            <w:vAlign w:val="center"/>
          </w:tcPr>
          <w:p w14:paraId="74D2CFC0" w14:textId="77777777" w:rsidR="008524D2" w:rsidRDefault="00A25B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王松云</w:t>
            </w:r>
          </w:p>
        </w:tc>
        <w:tc>
          <w:tcPr>
            <w:tcW w:w="850" w:type="dxa"/>
            <w:gridSpan w:val="2"/>
            <w:vAlign w:val="center"/>
          </w:tcPr>
          <w:p w14:paraId="5678E120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76616383" w14:textId="77777777" w:rsidR="008524D2" w:rsidRDefault="00A25B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江苏省连云港市圣湖路18号</w:t>
            </w:r>
          </w:p>
        </w:tc>
      </w:tr>
      <w:tr w:rsidR="008524D2" w14:paraId="6ED8ABCF" w14:textId="77777777">
        <w:trPr>
          <w:trHeight w:val="548"/>
          <w:jc w:val="center"/>
        </w:trPr>
        <w:tc>
          <w:tcPr>
            <w:tcW w:w="1980" w:type="dxa"/>
            <w:vAlign w:val="center"/>
          </w:tcPr>
          <w:p w14:paraId="7F9F81C6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71" w:type="dxa"/>
            <w:vAlign w:val="center"/>
          </w:tcPr>
          <w:p w14:paraId="254282C4" w14:textId="77777777" w:rsidR="008524D2" w:rsidRDefault="00A25B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15905166373</w:t>
            </w:r>
          </w:p>
        </w:tc>
        <w:tc>
          <w:tcPr>
            <w:tcW w:w="850" w:type="dxa"/>
            <w:gridSpan w:val="2"/>
            <w:vAlign w:val="center"/>
          </w:tcPr>
          <w:p w14:paraId="039F5A2C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1352E99B" w14:textId="77777777" w:rsidR="008524D2" w:rsidRDefault="00A25B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wsy_hi@163.com</w:t>
            </w:r>
          </w:p>
        </w:tc>
      </w:tr>
      <w:tr w:rsidR="008524D2" w14:paraId="7DAC0109" w14:textId="77777777">
        <w:trPr>
          <w:trHeight w:val="657"/>
          <w:jc w:val="center"/>
        </w:trPr>
        <w:tc>
          <w:tcPr>
            <w:tcW w:w="1980" w:type="dxa"/>
            <w:vAlign w:val="center"/>
          </w:tcPr>
          <w:p w14:paraId="09440F80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技术与市场</w:t>
            </w:r>
          </w:p>
          <w:p w14:paraId="1313592D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发展背景</w:t>
            </w:r>
          </w:p>
        </w:tc>
        <w:tc>
          <w:tcPr>
            <w:tcW w:w="7255" w:type="dxa"/>
            <w:gridSpan w:val="6"/>
          </w:tcPr>
          <w:p w14:paraId="6850C53F" w14:textId="77777777" w:rsidR="008524D2" w:rsidRDefault="00A25B93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技术变革加速和国际形势复杂多变的背景下，世界主要造船国家加快智能制造步伐，各大船企的竞争逐渐向技术领域聚焦，我国也因此面临国际国内双重挑战。国际方面，日韩等国船舶企业数字化转型较早，数字化智能化程度高，成为我国国际市场强劲的竞争对手。国内方面，船舶产能过剩、利用率不足、建造成本居高不下等问题一直是我国船舶业发展的严重掣肘。</w:t>
            </w:r>
          </w:p>
        </w:tc>
      </w:tr>
      <w:tr w:rsidR="008524D2" w14:paraId="54279A75" w14:textId="77777777">
        <w:trPr>
          <w:trHeight w:val="673"/>
          <w:jc w:val="center"/>
        </w:trPr>
        <w:tc>
          <w:tcPr>
            <w:tcW w:w="1980" w:type="dxa"/>
            <w:vAlign w:val="center"/>
          </w:tcPr>
          <w:p w14:paraId="4AB0BFD6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标准必要性和</w:t>
            </w:r>
          </w:p>
          <w:p w14:paraId="79BC6176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可行性</w:t>
            </w:r>
          </w:p>
        </w:tc>
        <w:tc>
          <w:tcPr>
            <w:tcW w:w="7255" w:type="dxa"/>
            <w:gridSpan w:val="6"/>
          </w:tcPr>
          <w:p w14:paraId="5432DF59" w14:textId="70B2C2CB" w:rsidR="008524D2" w:rsidRDefault="00A25B93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通过构建</w:t>
            </w:r>
            <w:r>
              <w:rPr>
                <w:rFonts w:hint="eastAsia"/>
                <w:sz w:val="24"/>
                <w:szCs w:val="24"/>
              </w:rPr>
              <w:t>船舶总装建造数字化转型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模型，</w:t>
            </w:r>
            <w:r>
              <w:rPr>
                <w:rFonts w:hint="eastAsia"/>
                <w:sz w:val="24"/>
                <w:szCs w:val="24"/>
              </w:rPr>
              <w:t>将正确引导、规范船舶总装建造企业</w:t>
            </w:r>
            <w:r>
              <w:rPr>
                <w:rFonts w:hint="eastAsia"/>
                <w:sz w:val="24"/>
                <w:szCs w:val="24"/>
                <w:lang w:val="en-US"/>
              </w:rPr>
              <w:t>开展数字化转型工作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  <w:lang w:val="en-US"/>
              </w:rPr>
              <w:t>助力</w:t>
            </w:r>
            <w:r>
              <w:rPr>
                <w:rFonts w:hint="eastAsia"/>
                <w:sz w:val="24"/>
                <w:szCs w:val="24"/>
              </w:rPr>
              <w:t>开拓新思路，构建数字化研发协同设计、数字化生产运营协同管控、数字化精益协同管理等一体化数字应用生态，加速船舶总装建造数字化转型，实现船舶总装建造企业资源优化高效配置、提升造船质量、降低船舶总装建造成本、缩短船舶总装建造周期。</w:t>
            </w:r>
          </w:p>
          <w:p w14:paraId="63EE9DC6" w14:textId="73005213" w:rsidR="008524D2" w:rsidRDefault="00A25B93" w:rsidP="0084748C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我国已发布《型材数字化加工工艺》等6项团体标准，覆盖设计、加工、管理等环节，具备标准研制经验；数字化转型成熟度模型（DTMM）国家标准的应用为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体系提供理论框架。</w:t>
            </w:r>
            <w:r w:rsidR="0084748C">
              <w:rPr>
                <w:rFonts w:hint="eastAsia"/>
                <w:sz w:val="24"/>
                <w:szCs w:val="24"/>
                <w:lang w:val="en-US"/>
              </w:rPr>
              <w:t>同时，</w:t>
            </w:r>
            <w:r>
              <w:rPr>
                <w:rFonts w:hint="eastAsia"/>
                <w:sz w:val="24"/>
                <w:szCs w:val="24"/>
                <w:lang w:val="en-US"/>
              </w:rPr>
              <w:t>部分头部船企在三维设计建模、物联网生产监控等领域取得成效，可为标准制定提供案例支撑。</w:t>
            </w:r>
          </w:p>
        </w:tc>
      </w:tr>
      <w:tr w:rsidR="008524D2" w14:paraId="30AE21BB" w14:textId="77777777">
        <w:trPr>
          <w:trHeight w:val="702"/>
          <w:jc w:val="center"/>
        </w:trPr>
        <w:tc>
          <w:tcPr>
            <w:tcW w:w="1980" w:type="dxa"/>
            <w:vAlign w:val="center"/>
          </w:tcPr>
          <w:p w14:paraId="0E5D5911" w14:textId="77777777" w:rsidR="008524D2" w:rsidRDefault="00A25B9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</w:t>
            </w:r>
          </w:p>
          <w:p w14:paraId="2E2E9D7F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简要说明</w:t>
            </w:r>
          </w:p>
        </w:tc>
        <w:tc>
          <w:tcPr>
            <w:tcW w:w="7255" w:type="dxa"/>
            <w:gridSpan w:val="6"/>
          </w:tcPr>
          <w:p w14:paraId="7C345E17" w14:textId="3362524F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国外在船舶总装建造数字化转型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模型方面更加侧重于技术创新和智能制造能力的提升。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模型</w:t>
            </w:r>
            <w:r>
              <w:rPr>
                <w:rFonts w:hint="eastAsia"/>
                <w:sz w:val="24"/>
                <w:szCs w:val="24"/>
                <w:lang w:val="en-US"/>
              </w:rPr>
              <w:t>大多</w:t>
            </w:r>
            <w:r>
              <w:rPr>
                <w:sz w:val="24"/>
                <w:szCs w:val="24"/>
                <w:lang w:val="en-US"/>
              </w:rPr>
              <w:t>包括生产效率、技术创新、质量控制、供应链协同等多个方面。此外，国外</w:t>
            </w:r>
            <w:r>
              <w:rPr>
                <w:rFonts w:hint="eastAsia"/>
                <w:sz w:val="24"/>
                <w:szCs w:val="24"/>
                <w:lang w:val="en-US"/>
              </w:rPr>
              <w:t>一般</w:t>
            </w:r>
            <w:r>
              <w:rPr>
                <w:sz w:val="24"/>
                <w:szCs w:val="24"/>
                <w:lang w:val="en-US"/>
              </w:rPr>
              <w:t>采用更加先进的数字化技术和工具，如数字</w:t>
            </w:r>
            <w:r>
              <w:rPr>
                <w:rFonts w:hint="eastAsia"/>
                <w:sz w:val="24"/>
                <w:szCs w:val="24"/>
                <w:lang w:val="en-US"/>
              </w:rPr>
              <w:t>孪生</w:t>
            </w:r>
            <w:r>
              <w:rPr>
                <w:sz w:val="24"/>
                <w:szCs w:val="24"/>
                <w:lang w:val="en-US"/>
              </w:rPr>
              <w:t>、仿真模拟等，来支持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模型的构建和实施。日韩等国基于PLM（产品生命周期管理）、MES</w:t>
            </w:r>
            <w:r>
              <w:rPr>
                <w:sz w:val="24"/>
                <w:szCs w:val="24"/>
                <w:lang w:val="en-US"/>
              </w:rPr>
              <w:lastRenderedPageBreak/>
              <w:t>（制造执行系统）等构建数字化标准体系，强调设计-制造一体化协同，但未形成综合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模型。国际标准化组织（ISO）在船舶领域偏重安全与环保标准，数字化转型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标准尚属空白。</w:t>
            </w:r>
          </w:p>
          <w:p w14:paraId="000A92CB" w14:textId="141615DA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国内船舶总装建造数字化转型的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模型通常包括生产效率、建造周期、质量控制、成本控制、创新能力等。这些维度涵盖了从设计到生产、从管理到服务的全过程。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模型</w:t>
            </w:r>
            <w:r>
              <w:rPr>
                <w:rFonts w:hint="eastAsia"/>
                <w:sz w:val="24"/>
                <w:szCs w:val="24"/>
                <w:lang w:val="en-US"/>
              </w:rPr>
              <w:t>大多</w:t>
            </w:r>
            <w:r>
              <w:rPr>
                <w:sz w:val="24"/>
                <w:szCs w:val="24"/>
                <w:lang w:val="en-US"/>
              </w:rPr>
              <w:t>采用量化指标和定性分析相结合的方式，以全面、客观地评估企业的数字化转型成效。《船舶总装建造智能化标准体系建设指南（2020版）》提出框架，但缺乏具体</w:t>
            </w:r>
            <w:r w:rsidR="009867A7">
              <w:rPr>
                <w:sz w:val="24"/>
                <w:szCs w:val="24"/>
                <w:lang w:val="en-US"/>
              </w:rPr>
              <w:t>评估</w:t>
            </w:r>
            <w:r>
              <w:rPr>
                <w:sz w:val="24"/>
                <w:szCs w:val="24"/>
                <w:lang w:val="en-US"/>
              </w:rPr>
              <w:t>指标；《T/CANSI91-2024型材数字化加工工艺》等团体标准聚焦局部环节，未覆盖全流程。</w:t>
            </w:r>
            <w:r w:rsidR="00F9482A" w:rsidRPr="00F9482A">
              <w:rPr>
                <w:rFonts w:hint="eastAsia"/>
                <w:sz w:val="24"/>
                <w:szCs w:val="24"/>
                <w:lang w:val="en-US"/>
              </w:rPr>
              <w:t>本标准结合国内船舶行业的特性优化指标，适应国内船舶总装建造数字化的发展。</w:t>
            </w:r>
            <w:bookmarkStart w:id="0" w:name="_GoBack"/>
            <w:bookmarkEnd w:id="0"/>
          </w:p>
        </w:tc>
      </w:tr>
      <w:tr w:rsidR="008524D2" w14:paraId="62F09CC6" w14:textId="77777777">
        <w:trPr>
          <w:trHeight w:val="581"/>
          <w:jc w:val="center"/>
        </w:trPr>
        <w:tc>
          <w:tcPr>
            <w:tcW w:w="1980" w:type="dxa"/>
            <w:vAlign w:val="center"/>
          </w:tcPr>
          <w:p w14:paraId="2350CE51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标准适用范围</w:t>
            </w:r>
          </w:p>
          <w:p w14:paraId="6E07B032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55" w:type="dxa"/>
            <w:gridSpan w:val="6"/>
          </w:tcPr>
          <w:p w14:paraId="37FF65E6" w14:textId="77777777" w:rsidR="008524D2" w:rsidRDefault="00A25B93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该标准适用于船舶总装建造行业。</w:t>
            </w:r>
          </w:p>
          <w:p w14:paraId="5BF50C95" w14:textId="1B795DE4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主要技术内容：参照国家、部委和行业制定的顶层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指标体系和相关指导文件，依据船舶总装建造数字化转型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范围研究成果，以船舶总装建造关键环节和典型应用场景为切入点，构建数字化转型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多级指标体系。按覆盖性、系统性、整体性原则，对覆盖船舶总装建造数字化转型的数字化转型战略、数字化基础能力、数字化运营能力、保障机制、转型成效等五个领域进行多级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指标分解，形成功能级、维度级、指标级等三级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模型。</w:t>
            </w:r>
          </w:p>
        </w:tc>
      </w:tr>
      <w:tr w:rsidR="008524D2" w14:paraId="66B2DBB8" w14:textId="77777777">
        <w:trPr>
          <w:trHeight w:val="510"/>
          <w:jc w:val="center"/>
        </w:trPr>
        <w:tc>
          <w:tcPr>
            <w:tcW w:w="1980" w:type="dxa"/>
            <w:vAlign w:val="center"/>
          </w:tcPr>
          <w:p w14:paraId="43BB404E" w14:textId="77777777" w:rsidR="008524D2" w:rsidRDefault="00A25B9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工作进度安排</w:t>
            </w:r>
          </w:p>
        </w:tc>
        <w:tc>
          <w:tcPr>
            <w:tcW w:w="7255" w:type="dxa"/>
            <w:gridSpan w:val="6"/>
          </w:tcPr>
          <w:p w14:paraId="73563451" w14:textId="77777777" w:rsidR="00093884" w:rsidRPr="00387869" w:rsidRDefault="00093884" w:rsidP="00093884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 w:rsidRPr="00387869">
              <w:rPr>
                <w:rFonts w:ascii="宋体" w:hAnsi="宋体" w:hint="eastAsia"/>
                <w:sz w:val="24"/>
                <w:szCs w:val="24"/>
              </w:rPr>
              <w:t>草案提交：2025年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 w:rsidRPr="00387869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14:paraId="4D21EE01" w14:textId="77777777" w:rsidR="00093884" w:rsidRDefault="00093884" w:rsidP="00093884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 w:rsidRPr="00387869">
              <w:rPr>
                <w:rFonts w:ascii="宋体" w:hAnsi="宋体" w:hint="eastAsia"/>
                <w:sz w:val="24"/>
                <w:szCs w:val="24"/>
              </w:rPr>
              <w:t>预期立项：2025年4月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14:paraId="42523472" w14:textId="29B46977" w:rsidR="008524D2" w:rsidRDefault="00093884" w:rsidP="00093884">
            <w:pPr>
              <w:ind w:firstLineChars="200" w:firstLine="480"/>
              <w:rPr>
                <w:rFonts w:ascii="黑体" w:eastAsia="黑体" w:hAnsi="宋体"/>
                <w:sz w:val="24"/>
                <w:lang w:val="en-US"/>
              </w:rPr>
            </w:pPr>
            <w:r w:rsidRPr="00387869">
              <w:rPr>
                <w:rFonts w:ascii="宋体" w:hAnsi="宋体" w:hint="eastAsia"/>
                <w:sz w:val="24"/>
                <w:szCs w:val="24"/>
              </w:rPr>
              <w:t>预期发布：2025年</w:t>
            </w:r>
            <w:r w:rsidRPr="00387869">
              <w:rPr>
                <w:rFonts w:ascii="宋体" w:hAnsi="宋体"/>
                <w:sz w:val="24"/>
                <w:szCs w:val="24"/>
              </w:rPr>
              <w:t>12</w:t>
            </w:r>
            <w:r w:rsidRPr="00387869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8524D2" w14:paraId="776DD729" w14:textId="77777777">
        <w:trPr>
          <w:trHeight w:val="834"/>
          <w:jc w:val="center"/>
        </w:trPr>
        <w:tc>
          <w:tcPr>
            <w:tcW w:w="1980" w:type="dxa"/>
            <w:vAlign w:val="center"/>
          </w:tcPr>
          <w:p w14:paraId="76A407AB" w14:textId="77777777" w:rsidR="008524D2" w:rsidRDefault="00A25B9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标准预期实施</w:t>
            </w:r>
          </w:p>
          <w:p w14:paraId="0DC7258F" w14:textId="77777777" w:rsidR="008524D2" w:rsidRDefault="00A25B9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应用方案</w:t>
            </w:r>
          </w:p>
        </w:tc>
        <w:tc>
          <w:tcPr>
            <w:tcW w:w="7255" w:type="dxa"/>
            <w:gridSpan w:val="6"/>
          </w:tcPr>
          <w:p w14:paraId="78F6BE33" w14:textId="77777777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分阶段推广：</w:t>
            </w:r>
          </w:p>
          <w:p w14:paraId="2CEBA064" w14:textId="77777777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试点期（1年）：联合行业协会推动头部企业应用，积累典型案例。</w:t>
            </w:r>
          </w:p>
          <w:p w14:paraId="6674EB86" w14:textId="77777777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扩展期（2年）：通过培训、政策补贴等方式覆盖集团全部船企，构建全面的数字化转型公共服务平台。</w:t>
            </w:r>
          </w:p>
          <w:p w14:paraId="2E7C73A9" w14:textId="3E828FE3" w:rsidR="008524D2" w:rsidRDefault="00A25B93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动态优化机制：每两年修订标准，纳入新技术（如AI工艺优化、数字孪生）的应用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。</w:t>
            </w:r>
          </w:p>
        </w:tc>
      </w:tr>
      <w:tr w:rsidR="008524D2" w14:paraId="74A3404A" w14:textId="77777777">
        <w:trPr>
          <w:trHeight w:val="422"/>
          <w:jc w:val="center"/>
        </w:trPr>
        <w:tc>
          <w:tcPr>
            <w:tcW w:w="1980" w:type="dxa"/>
            <w:vAlign w:val="center"/>
          </w:tcPr>
          <w:p w14:paraId="4BE425A6" w14:textId="77777777" w:rsidR="008524D2" w:rsidRDefault="00A25B9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经费保障</w:t>
            </w:r>
          </w:p>
        </w:tc>
        <w:tc>
          <w:tcPr>
            <w:tcW w:w="7255" w:type="dxa"/>
            <w:gridSpan w:val="6"/>
          </w:tcPr>
          <w:p w14:paraId="2FF211D7" w14:textId="402FAA94" w:rsidR="008524D2" w:rsidRDefault="004E4C2C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 w:rsidRPr="004E4C2C">
              <w:rPr>
                <w:rFonts w:hint="eastAsia"/>
                <w:sz w:val="24"/>
                <w:szCs w:val="24"/>
                <w:lang w:val="en-US"/>
              </w:rPr>
              <w:t>课题经费保障（含学会标准管理费用、标准编制过程中因技术交流、调研等发生的差旅费、会议费、审查费、专家咨询费等）。</w:t>
            </w:r>
          </w:p>
        </w:tc>
      </w:tr>
      <w:tr w:rsidR="008524D2" w14:paraId="6C7BB2FA" w14:textId="77777777">
        <w:trPr>
          <w:trHeight w:val="834"/>
          <w:jc w:val="center"/>
        </w:trPr>
        <w:tc>
          <w:tcPr>
            <w:tcW w:w="1980" w:type="dxa"/>
            <w:vAlign w:val="center"/>
          </w:tcPr>
          <w:p w14:paraId="35E65942" w14:textId="77777777" w:rsidR="008524D2" w:rsidRDefault="00A25B9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技术基础及</w:t>
            </w:r>
          </w:p>
          <w:p w14:paraId="60FB14E9" w14:textId="77777777" w:rsidR="008524D2" w:rsidRDefault="00A25B9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55" w:type="dxa"/>
            <w:gridSpan w:val="6"/>
          </w:tcPr>
          <w:p w14:paraId="067D34EA" w14:textId="18BE13CC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依托《制造企业数字化转型</w:t>
            </w:r>
            <w:r w:rsidR="009867A7">
              <w:rPr>
                <w:rFonts w:hint="eastAsia"/>
                <w:sz w:val="24"/>
                <w:szCs w:val="24"/>
                <w:lang w:val="en-US"/>
              </w:rPr>
              <w:t>评估</w:t>
            </w:r>
            <w:r>
              <w:rPr>
                <w:rFonts w:hint="eastAsia"/>
                <w:sz w:val="24"/>
                <w:szCs w:val="24"/>
                <w:lang w:val="en-US"/>
              </w:rPr>
              <w:t>体系的构建与应用》理论框架，结合船舶行业特性优化指标。</w:t>
            </w:r>
          </w:p>
          <w:p w14:paraId="0C63A75D" w14:textId="77777777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牵头单位：中国船舶集团有限公司第七一六研究所。</w:t>
            </w:r>
          </w:p>
          <w:p w14:paraId="661850A8" w14:textId="77777777" w:rsidR="008524D2" w:rsidRDefault="00A25B93">
            <w:pPr>
              <w:ind w:firstLineChars="200" w:firstLine="48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协作单位：中国船舶集团有限公司综合技术经济研究院、上海交通大学、上海外高桥造船有限公司、中远海运重工有限公司、江南造船厂、广船国际造船厂、沪东中华造船集团有限公司、招商局邮轮制造有限公司、江苏科技大学、中国矿业大学。</w:t>
            </w:r>
          </w:p>
          <w:p w14:paraId="4DDB2DDF" w14:textId="77777777" w:rsidR="008524D2" w:rsidRDefault="00A25B93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专家组：涵盖船舶设计、智能制造、标准化领域权威学者及企业技术负责人。</w:t>
            </w:r>
          </w:p>
        </w:tc>
      </w:tr>
      <w:tr w:rsidR="008524D2" w14:paraId="788AE383" w14:textId="77777777">
        <w:trPr>
          <w:trHeight w:val="944"/>
          <w:jc w:val="center"/>
        </w:trPr>
        <w:tc>
          <w:tcPr>
            <w:tcW w:w="1980" w:type="dxa"/>
            <w:vAlign w:val="center"/>
          </w:tcPr>
          <w:p w14:paraId="608E2165" w14:textId="77777777" w:rsidR="008524D2" w:rsidRDefault="00A25B9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</w:t>
            </w:r>
          </w:p>
          <w:p w14:paraId="47A41434" w14:textId="77777777" w:rsidR="008524D2" w:rsidRDefault="00A25B9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255" w:type="dxa"/>
            <w:gridSpan w:val="6"/>
            <w:vAlign w:val="bottom"/>
          </w:tcPr>
          <w:p w14:paraId="7CA7FA09" w14:textId="77777777" w:rsidR="008524D2" w:rsidRDefault="00A25B9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533021BB" w14:textId="77777777" w:rsidR="008524D2" w:rsidRDefault="00A25B93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8524D2" w14:paraId="4EEF07FE" w14:textId="77777777">
        <w:trPr>
          <w:trHeight w:val="1890"/>
          <w:jc w:val="center"/>
        </w:trPr>
        <w:tc>
          <w:tcPr>
            <w:tcW w:w="1980" w:type="dxa"/>
            <w:vAlign w:val="center"/>
          </w:tcPr>
          <w:p w14:paraId="03471DF7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标准化学术</w:t>
            </w:r>
          </w:p>
          <w:p w14:paraId="5A554C7E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委员会意见</w:t>
            </w:r>
          </w:p>
        </w:tc>
        <w:tc>
          <w:tcPr>
            <w:tcW w:w="2596" w:type="dxa"/>
            <w:gridSpan w:val="2"/>
            <w:vAlign w:val="bottom"/>
          </w:tcPr>
          <w:p w14:paraId="15646DB9" w14:textId="77777777" w:rsidR="008524D2" w:rsidRDefault="00A25B9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48D2048F" w14:textId="77777777" w:rsidR="008524D2" w:rsidRDefault="008524D2">
            <w:pPr>
              <w:jc w:val="right"/>
              <w:rPr>
                <w:sz w:val="24"/>
              </w:rPr>
            </w:pPr>
          </w:p>
          <w:p w14:paraId="3C05BE30" w14:textId="77777777" w:rsidR="008524D2" w:rsidRDefault="008524D2">
            <w:pPr>
              <w:jc w:val="right"/>
              <w:rPr>
                <w:sz w:val="24"/>
              </w:rPr>
            </w:pPr>
          </w:p>
          <w:p w14:paraId="435E01EB" w14:textId="77777777" w:rsidR="008524D2" w:rsidRDefault="00A25B9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087C5CFB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</w:t>
            </w:r>
          </w:p>
          <w:p w14:paraId="2607BD09" w14:textId="77777777" w:rsidR="008524D2" w:rsidRDefault="00A25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学会意见</w:t>
            </w:r>
          </w:p>
        </w:tc>
        <w:tc>
          <w:tcPr>
            <w:tcW w:w="2674" w:type="dxa"/>
            <w:vAlign w:val="bottom"/>
          </w:tcPr>
          <w:p w14:paraId="11EBD06C" w14:textId="77777777" w:rsidR="008524D2" w:rsidRDefault="00A25B9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1EA78405" w14:textId="77777777" w:rsidR="008524D2" w:rsidRDefault="008524D2">
            <w:pPr>
              <w:jc w:val="right"/>
              <w:rPr>
                <w:sz w:val="24"/>
              </w:rPr>
            </w:pPr>
          </w:p>
          <w:p w14:paraId="1B8083EB" w14:textId="77777777" w:rsidR="008524D2" w:rsidRDefault="008524D2">
            <w:pPr>
              <w:jc w:val="right"/>
              <w:rPr>
                <w:sz w:val="24"/>
              </w:rPr>
            </w:pPr>
          </w:p>
          <w:p w14:paraId="2C518884" w14:textId="77777777" w:rsidR="008524D2" w:rsidRDefault="00A25B9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43128586" w14:textId="77777777" w:rsidR="008524D2" w:rsidRDefault="00A25B93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852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9C1B7" w14:textId="77777777" w:rsidR="00B553E8" w:rsidRDefault="00B553E8" w:rsidP="009867A7">
      <w:r>
        <w:separator/>
      </w:r>
    </w:p>
  </w:endnote>
  <w:endnote w:type="continuationSeparator" w:id="0">
    <w:p w14:paraId="605FEF1D" w14:textId="77777777" w:rsidR="00B553E8" w:rsidRDefault="00B553E8" w:rsidP="0098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F2EF6" w14:textId="77777777" w:rsidR="00B553E8" w:rsidRDefault="00B553E8" w:rsidP="009867A7">
      <w:r>
        <w:separator/>
      </w:r>
    </w:p>
  </w:footnote>
  <w:footnote w:type="continuationSeparator" w:id="0">
    <w:p w14:paraId="78A2C8BA" w14:textId="77777777" w:rsidR="00B553E8" w:rsidRDefault="00B553E8" w:rsidP="00986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E3NGM4NmY1MTk1MDk2NTNiMjc3M2IzNDk5N2FhNDYifQ=="/>
  </w:docVars>
  <w:rsids>
    <w:rsidRoot w:val="00EB3B78"/>
    <w:rsid w:val="00093884"/>
    <w:rsid w:val="00117F04"/>
    <w:rsid w:val="001510F7"/>
    <w:rsid w:val="001604E9"/>
    <w:rsid w:val="001A3A06"/>
    <w:rsid w:val="00263E29"/>
    <w:rsid w:val="00304891"/>
    <w:rsid w:val="003C0DE4"/>
    <w:rsid w:val="00471F44"/>
    <w:rsid w:val="004E4C2C"/>
    <w:rsid w:val="0057746B"/>
    <w:rsid w:val="00577BEA"/>
    <w:rsid w:val="005E7D40"/>
    <w:rsid w:val="00606BB2"/>
    <w:rsid w:val="006C1855"/>
    <w:rsid w:val="007E50D3"/>
    <w:rsid w:val="00832BB0"/>
    <w:rsid w:val="00837D5D"/>
    <w:rsid w:val="0084748C"/>
    <w:rsid w:val="008524D2"/>
    <w:rsid w:val="008768A7"/>
    <w:rsid w:val="008B3616"/>
    <w:rsid w:val="00911F13"/>
    <w:rsid w:val="00915110"/>
    <w:rsid w:val="009867A7"/>
    <w:rsid w:val="00A25B93"/>
    <w:rsid w:val="00A263A7"/>
    <w:rsid w:val="00A82E6F"/>
    <w:rsid w:val="00B179E9"/>
    <w:rsid w:val="00B439F8"/>
    <w:rsid w:val="00B553E8"/>
    <w:rsid w:val="00B826ED"/>
    <w:rsid w:val="00C05F8B"/>
    <w:rsid w:val="00C14618"/>
    <w:rsid w:val="00C3423D"/>
    <w:rsid w:val="00CC23B7"/>
    <w:rsid w:val="00D10795"/>
    <w:rsid w:val="00D20CA1"/>
    <w:rsid w:val="00D70558"/>
    <w:rsid w:val="00DE3D7E"/>
    <w:rsid w:val="00DF354F"/>
    <w:rsid w:val="00E32311"/>
    <w:rsid w:val="00EA4B78"/>
    <w:rsid w:val="00EB3B78"/>
    <w:rsid w:val="00F9482A"/>
    <w:rsid w:val="01D6556A"/>
    <w:rsid w:val="12E54B59"/>
    <w:rsid w:val="68F64E5A"/>
    <w:rsid w:val="768D3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3C89B"/>
  <w15:docId w15:val="{F1C0BD19-B8B8-4A72-88C4-3A964410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napToGrid/>
      <w:sz w:val="24"/>
      <w:szCs w:val="24"/>
      <w:lang w:val="en-US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rFonts w:asciiTheme="minorEastAsia" w:cs="Times New Roman"/>
      <w:snapToGrid w:val="0"/>
      <w:sz w:val="18"/>
      <w:szCs w:val="18"/>
      <w:lang w:val="en-GB"/>
    </w:rPr>
  </w:style>
  <w:style w:type="character" w:customStyle="1" w:styleId="a8">
    <w:name w:val="页脚 字符"/>
    <w:basedOn w:val="a0"/>
    <w:link w:val="a7"/>
    <w:uiPriority w:val="99"/>
    <w:qFormat/>
    <w:rPr>
      <w:rFonts w:asciiTheme="minorEastAsia" w:cs="Times New Roman"/>
      <w:snapToGrid w:val="0"/>
      <w:sz w:val="18"/>
      <w:szCs w:val="18"/>
      <w:lang w:val="en-GB"/>
    </w:rPr>
  </w:style>
  <w:style w:type="character" w:customStyle="1" w:styleId="a4">
    <w:name w:val="批注文字 字符"/>
    <w:basedOn w:val="a0"/>
    <w:link w:val="a3"/>
    <w:uiPriority w:val="99"/>
    <w:semiHidden/>
    <w:rPr>
      <w:rFonts w:asciiTheme="minorEastAsia" w:cs="Times New Roman"/>
      <w:snapToGrid w:val="0"/>
      <w:sz w:val="21"/>
      <w:szCs w:val="21"/>
      <w:lang w:val="en-GB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EastAsia" w:cs="Times New Roman"/>
      <w:b/>
      <w:bCs/>
      <w:snapToGrid w:val="0"/>
      <w:sz w:val="21"/>
      <w:szCs w:val="21"/>
      <w:lang w:val="en-GB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EastAsia" w:cs="Times New Roman"/>
      <w:snapToGrid w:val="0"/>
      <w:sz w:val="18"/>
      <w:szCs w:val="18"/>
      <w:lang w:val="en-GB"/>
    </w:rPr>
  </w:style>
  <w:style w:type="character" w:customStyle="1" w:styleId="ds-markdown-cite">
    <w:name w:val="ds-markdown-cit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332</Words>
  <Characters>1896</Characters>
  <Application>Microsoft Office Word</Application>
  <DocSecurity>0</DocSecurity>
  <Lines>15</Lines>
  <Paragraphs>4</Paragraphs>
  <ScaleCrop>false</ScaleCrop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biaoyan</cp:lastModifiedBy>
  <cp:revision>33</cp:revision>
  <dcterms:created xsi:type="dcterms:W3CDTF">2022-08-15T06:27:00Z</dcterms:created>
  <dcterms:modified xsi:type="dcterms:W3CDTF">2025-03-24T01:26:00Z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4289304D36C7492A8221E1519AFCDAF4</vt:lpwstr>
  </property>
</Properties>
</file>