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AB690" w14:textId="77777777" w:rsidR="00DE68E8" w:rsidRPr="00DE68E8" w:rsidRDefault="00DE68E8" w:rsidP="00DE68E8">
      <w:pPr>
        <w:spacing w:line="360" w:lineRule="auto"/>
        <w:jc w:val="left"/>
        <w:outlineLvl w:val="0"/>
        <w:rPr>
          <w:rFonts w:ascii="黑体" w:eastAsia="黑体" w:hAnsi="华文细黑" w:cs="Times New Roman"/>
          <w:snapToGrid w:val="0"/>
          <w:kern w:val="0"/>
          <w:sz w:val="24"/>
          <w:szCs w:val="21"/>
          <w:lang w:val="en-GB"/>
          <w14:ligatures w14:val="none"/>
        </w:rPr>
      </w:pPr>
      <w:bookmarkStart w:id="0" w:name="OLE_LINK6"/>
      <w:r w:rsidRPr="00DE68E8">
        <w:rPr>
          <w:rFonts w:ascii="黑体" w:eastAsia="黑体" w:hAnsi="华文细黑" w:cs="Times New Roman" w:hint="eastAsia"/>
          <w:snapToGrid w:val="0"/>
          <w:kern w:val="0"/>
          <w:sz w:val="24"/>
          <w:szCs w:val="21"/>
          <w:lang w:val="en-GB"/>
          <w14:ligatures w14:val="none"/>
        </w:rPr>
        <w:t>附件1</w:t>
      </w:r>
    </w:p>
    <w:p w14:paraId="3AFA9EA9" w14:textId="77777777" w:rsidR="00DE68E8" w:rsidRPr="00DE68E8" w:rsidRDefault="00DE68E8" w:rsidP="00DE68E8">
      <w:pPr>
        <w:spacing w:beforeLines="50" w:before="156" w:line="360" w:lineRule="auto"/>
        <w:jc w:val="center"/>
        <w:rPr>
          <w:rFonts w:ascii="黑体" w:eastAsia="黑体" w:hAnsi="Calibri" w:cs="Times New Roman"/>
          <w:snapToGrid w:val="0"/>
          <w:kern w:val="0"/>
          <w:sz w:val="28"/>
          <w:szCs w:val="21"/>
          <w:lang w:val="en-GB"/>
          <w14:ligatures w14:val="none"/>
        </w:rPr>
      </w:pPr>
      <w:r w:rsidRPr="00DE68E8">
        <w:rPr>
          <w:rFonts w:ascii="黑体" w:eastAsia="黑体" w:hAnsi="Calibri" w:cs="Times New Roman" w:hint="eastAsia"/>
          <w:snapToGrid w:val="0"/>
          <w:kern w:val="0"/>
          <w:sz w:val="28"/>
          <w:szCs w:val="21"/>
          <w:lang w:val="en-GB"/>
          <w14:ligatures w14:val="none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71"/>
        <w:gridCol w:w="425"/>
        <w:gridCol w:w="425"/>
        <w:gridCol w:w="851"/>
        <w:gridCol w:w="709"/>
        <w:gridCol w:w="2674"/>
      </w:tblGrid>
      <w:tr w:rsidR="00DE68E8" w:rsidRPr="00DE68E8" w14:paraId="4156D272" w14:textId="77777777" w:rsidTr="002124A2">
        <w:trPr>
          <w:trHeight w:val="605"/>
          <w:jc w:val="center"/>
        </w:trPr>
        <w:tc>
          <w:tcPr>
            <w:tcW w:w="1980" w:type="dxa"/>
            <w:vAlign w:val="center"/>
          </w:tcPr>
          <w:p w14:paraId="3BA585E6" w14:textId="77777777" w:rsidR="00DE68E8" w:rsidRPr="00DE68E8" w:rsidRDefault="00DE68E8" w:rsidP="00DE68E8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项目名称（中文）</w:t>
            </w:r>
          </w:p>
        </w:tc>
        <w:tc>
          <w:tcPr>
            <w:tcW w:w="7255" w:type="dxa"/>
            <w:gridSpan w:val="6"/>
            <w:vAlign w:val="center"/>
          </w:tcPr>
          <w:p w14:paraId="580E8D7D" w14:textId="447CBA3E" w:rsidR="00DE68E8" w:rsidRPr="00AE6B69" w:rsidRDefault="00766234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766234">
              <w:rPr>
                <w:rFonts w:ascii="宋体" w:eastAsia="宋体" w:hAnsi="宋体" w:hint="eastAsia"/>
                <w:sz w:val="24"/>
                <w:szCs w:val="24"/>
              </w:rPr>
              <w:t>甲醇燃料动力超大型油船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3A535C" w:rsidRPr="003A535C">
              <w:rPr>
                <w:rFonts w:ascii="宋体" w:eastAsia="宋体" w:hAnsi="宋体"/>
                <w:sz w:val="24"/>
                <w:szCs w:val="24"/>
              </w:rPr>
              <w:t>系泊试验</w:t>
            </w:r>
            <w:r w:rsidR="00D97935">
              <w:rPr>
                <w:rFonts w:ascii="宋体" w:eastAsia="宋体" w:hAnsi="宋体" w:hint="eastAsia"/>
                <w:sz w:val="24"/>
                <w:szCs w:val="24"/>
              </w:rPr>
              <w:t>设计</w:t>
            </w:r>
            <w:r w:rsidR="003A535C" w:rsidRPr="003A535C">
              <w:rPr>
                <w:rFonts w:ascii="宋体" w:eastAsia="宋体" w:hAnsi="宋体"/>
                <w:sz w:val="24"/>
                <w:szCs w:val="24"/>
              </w:rPr>
              <w:t>指南</w:t>
            </w:r>
          </w:p>
        </w:tc>
      </w:tr>
      <w:tr w:rsidR="00DE68E8" w:rsidRPr="00DE68E8" w14:paraId="2572CE35" w14:textId="77777777" w:rsidTr="002124A2">
        <w:trPr>
          <w:trHeight w:val="605"/>
          <w:jc w:val="center"/>
        </w:trPr>
        <w:tc>
          <w:tcPr>
            <w:tcW w:w="1980" w:type="dxa"/>
            <w:vAlign w:val="center"/>
          </w:tcPr>
          <w:p w14:paraId="3AD437AE" w14:textId="77777777" w:rsidR="00DE68E8" w:rsidRPr="00DE68E8" w:rsidRDefault="00DE68E8" w:rsidP="00DE68E8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项目名称（英文）</w:t>
            </w:r>
          </w:p>
        </w:tc>
        <w:tc>
          <w:tcPr>
            <w:tcW w:w="7255" w:type="dxa"/>
            <w:gridSpan w:val="6"/>
            <w:vAlign w:val="center"/>
          </w:tcPr>
          <w:p w14:paraId="7A68E6FF" w14:textId="0001A7AE" w:rsidR="00DE68E8" w:rsidRPr="00AE6B69" w:rsidRDefault="003A535C" w:rsidP="00DE68E8">
            <w:pPr>
              <w:jc w:val="center"/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</w:pPr>
            <w:r w:rsidRPr="003A535C"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  <w:t xml:space="preserve">Methanol-powered VLCCs - </w:t>
            </w:r>
            <w:bookmarkStart w:id="1" w:name="_GoBack"/>
            <w:bookmarkEnd w:id="1"/>
            <w:r w:rsidR="00D97935"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  <w:t>design g</w:t>
            </w:r>
            <w:r w:rsidRPr="003A535C">
              <w:rPr>
                <w:rFonts w:ascii="宋体" w:eastAsia="宋体" w:hAnsi="宋体" w:cs="Times New Roman"/>
                <w:sz w:val="24"/>
                <w:szCs w:val="24"/>
                <w14:ligatures w14:val="none"/>
              </w:rPr>
              <w:t>uidelines for mooring tests</w:t>
            </w:r>
          </w:p>
        </w:tc>
      </w:tr>
      <w:tr w:rsidR="00DE68E8" w:rsidRPr="00DE68E8" w14:paraId="0C3ABF5B" w14:textId="77777777" w:rsidTr="009C66C8">
        <w:trPr>
          <w:trHeight w:val="492"/>
          <w:jc w:val="center"/>
        </w:trPr>
        <w:tc>
          <w:tcPr>
            <w:tcW w:w="1980" w:type="dxa"/>
            <w:vAlign w:val="center"/>
          </w:tcPr>
          <w:p w14:paraId="405D8D9D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制修订</w:t>
            </w:r>
          </w:p>
        </w:tc>
        <w:tc>
          <w:tcPr>
            <w:tcW w:w="2171" w:type="dxa"/>
            <w:vAlign w:val="center"/>
          </w:tcPr>
          <w:p w14:paraId="600E8904" w14:textId="1CB70906" w:rsidR="00DE68E8" w:rsidRPr="00DE68E8" w:rsidRDefault="00585F89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█</w:t>
            </w:r>
            <w:r w:rsidR="00DE68E8"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28AB3526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4B22AC59" w14:textId="56D224AA" w:rsidR="00DE68E8" w:rsidRPr="00DE68E8" w:rsidRDefault="00DE68E8" w:rsidP="00DE68E8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</w:tc>
      </w:tr>
      <w:tr w:rsidR="00DE68E8" w:rsidRPr="00DE68E8" w14:paraId="210DC016" w14:textId="77777777" w:rsidTr="00474408">
        <w:trPr>
          <w:trHeight w:val="828"/>
          <w:jc w:val="center"/>
        </w:trPr>
        <w:tc>
          <w:tcPr>
            <w:tcW w:w="1980" w:type="dxa"/>
            <w:vAlign w:val="center"/>
          </w:tcPr>
          <w:p w14:paraId="44CBC48C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58401B6E" w14:textId="77777777" w:rsidR="00DE68E8" w:rsidRPr="00DE68E8" w:rsidRDefault="00DE68E8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E692C5E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编制周期</w:t>
            </w:r>
          </w:p>
        </w:tc>
        <w:tc>
          <w:tcPr>
            <w:tcW w:w="3383" w:type="dxa"/>
            <w:gridSpan w:val="2"/>
            <w:vAlign w:val="center"/>
          </w:tcPr>
          <w:p w14:paraId="13D7F116" w14:textId="5C08D74B" w:rsidR="00DE68E8" w:rsidRPr="00DE68E8" w:rsidRDefault="00585F89" w:rsidP="00DE68E8">
            <w:pPr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█</w:t>
            </w:r>
            <w:r w:rsidR="00DE68E8"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12个月  □18个月   </w:t>
            </w:r>
          </w:p>
          <w:p w14:paraId="5E4891C9" w14:textId="77777777" w:rsidR="00DE68E8" w:rsidRPr="00DE68E8" w:rsidRDefault="00DE68E8" w:rsidP="00DE68E8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□其他</w:t>
            </w: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u w:val="single"/>
                <w:lang w:val="en-GB"/>
                <w14:ligatures w14:val="none"/>
              </w:rPr>
              <w:t xml:space="preserve">         </w:t>
            </w:r>
          </w:p>
        </w:tc>
      </w:tr>
      <w:tr w:rsidR="00DE68E8" w:rsidRPr="00DE68E8" w14:paraId="739AAE74" w14:textId="77777777" w:rsidTr="00474408">
        <w:trPr>
          <w:trHeight w:val="728"/>
          <w:jc w:val="center"/>
        </w:trPr>
        <w:tc>
          <w:tcPr>
            <w:tcW w:w="1980" w:type="dxa"/>
            <w:vAlign w:val="center"/>
          </w:tcPr>
          <w:p w14:paraId="278ECD55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起草单位</w:t>
            </w:r>
          </w:p>
          <w:p w14:paraId="2C67F858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（不少于3家）</w:t>
            </w:r>
          </w:p>
        </w:tc>
        <w:tc>
          <w:tcPr>
            <w:tcW w:w="7255" w:type="dxa"/>
            <w:gridSpan w:val="6"/>
            <w:vAlign w:val="center"/>
          </w:tcPr>
          <w:p w14:paraId="2BAEFFDE" w14:textId="624389F4" w:rsidR="00DE68E8" w:rsidRPr="000055B6" w:rsidRDefault="00E33985" w:rsidP="00A93C7E">
            <w:pPr>
              <w:snapToGrid w:val="0"/>
              <w:ind w:leftChars="-50" w:left="-105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E33985">
              <w:rPr>
                <w:rFonts w:ascii="宋体" w:eastAsia="宋体" w:hAnsi="宋体" w:hint="eastAsia"/>
              </w:rPr>
              <w:t>大连船舶重工集团有限公司、山海关船舶重工有限责任公司、中国船舶集团有限公司第七〇四研究所、中船（天津）船舶制造有限公司</w:t>
            </w:r>
          </w:p>
        </w:tc>
      </w:tr>
      <w:tr w:rsidR="00DE68E8" w:rsidRPr="00DE68E8" w14:paraId="74387F7D" w14:textId="77777777" w:rsidTr="002124A2">
        <w:trPr>
          <w:trHeight w:val="548"/>
          <w:jc w:val="center"/>
        </w:trPr>
        <w:tc>
          <w:tcPr>
            <w:tcW w:w="1980" w:type="dxa"/>
            <w:vAlign w:val="center"/>
          </w:tcPr>
          <w:p w14:paraId="10238AEF" w14:textId="77777777" w:rsidR="00DE68E8" w:rsidRPr="00DE68E8" w:rsidRDefault="00DE68E8" w:rsidP="00157D52">
            <w:pPr>
              <w:snapToGrid w:val="0"/>
              <w:ind w:leftChars="-50" w:left="-105"/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联系人</w:t>
            </w:r>
          </w:p>
        </w:tc>
        <w:tc>
          <w:tcPr>
            <w:tcW w:w="2171" w:type="dxa"/>
            <w:vAlign w:val="center"/>
          </w:tcPr>
          <w:p w14:paraId="3E95B0CA" w14:textId="3C8EF160" w:rsidR="00DE68E8" w:rsidRPr="00DE68E8" w:rsidRDefault="00585F89" w:rsidP="00157D52">
            <w:pPr>
              <w:snapToGrid w:val="0"/>
              <w:ind w:leftChars="-50" w:left="-105"/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157D52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徐恩广</w:t>
            </w:r>
          </w:p>
        </w:tc>
        <w:tc>
          <w:tcPr>
            <w:tcW w:w="850" w:type="dxa"/>
            <w:gridSpan w:val="2"/>
            <w:vAlign w:val="center"/>
          </w:tcPr>
          <w:p w14:paraId="0FAC178B" w14:textId="77777777" w:rsidR="00DE68E8" w:rsidRPr="00DE68E8" w:rsidRDefault="00DE68E8" w:rsidP="00157D52">
            <w:pPr>
              <w:snapToGrid w:val="0"/>
              <w:ind w:leftChars="-50" w:left="-105"/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580FE106" w14:textId="01FF8D38" w:rsidR="00DE68E8" w:rsidRPr="00DE68E8" w:rsidRDefault="00585F89" w:rsidP="00157D52">
            <w:pPr>
              <w:snapToGrid w:val="0"/>
              <w:ind w:leftChars="-50" w:left="-105"/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157D52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大连市西岗区沿海街1号</w:t>
            </w:r>
          </w:p>
        </w:tc>
      </w:tr>
      <w:tr w:rsidR="00DE68E8" w:rsidRPr="00DE68E8" w14:paraId="08584ED4" w14:textId="77777777" w:rsidTr="002124A2">
        <w:trPr>
          <w:trHeight w:val="548"/>
          <w:jc w:val="center"/>
        </w:trPr>
        <w:tc>
          <w:tcPr>
            <w:tcW w:w="1980" w:type="dxa"/>
            <w:vAlign w:val="center"/>
          </w:tcPr>
          <w:p w14:paraId="367FD639" w14:textId="77777777" w:rsidR="00DE68E8" w:rsidRPr="00DE68E8" w:rsidRDefault="00DE68E8" w:rsidP="00157D52">
            <w:pPr>
              <w:snapToGrid w:val="0"/>
              <w:ind w:leftChars="-50" w:left="-105"/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电话</w:t>
            </w:r>
          </w:p>
        </w:tc>
        <w:tc>
          <w:tcPr>
            <w:tcW w:w="2171" w:type="dxa"/>
            <w:vAlign w:val="center"/>
          </w:tcPr>
          <w:p w14:paraId="614A0D44" w14:textId="41EB9CFD" w:rsidR="00DE68E8" w:rsidRPr="00DE68E8" w:rsidRDefault="00585F89" w:rsidP="00157D52">
            <w:pPr>
              <w:snapToGrid w:val="0"/>
              <w:ind w:leftChars="-50" w:left="-105"/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157D52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0411-84486439</w:t>
            </w:r>
          </w:p>
        </w:tc>
        <w:tc>
          <w:tcPr>
            <w:tcW w:w="850" w:type="dxa"/>
            <w:gridSpan w:val="2"/>
            <w:vAlign w:val="center"/>
          </w:tcPr>
          <w:p w14:paraId="70EBCB42" w14:textId="77777777" w:rsidR="00DE68E8" w:rsidRPr="00DE68E8" w:rsidRDefault="00DE68E8" w:rsidP="00157D52">
            <w:pPr>
              <w:snapToGrid w:val="0"/>
              <w:ind w:leftChars="-50" w:left="-105"/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20E18FD9" w14:textId="29F7A031" w:rsidR="00DE68E8" w:rsidRPr="00DE68E8" w:rsidRDefault="00585F89" w:rsidP="00157D52">
            <w:pPr>
              <w:snapToGrid w:val="0"/>
              <w:ind w:leftChars="-50" w:left="-105"/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157D52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xeg0214@163.com</w:t>
            </w:r>
          </w:p>
        </w:tc>
      </w:tr>
      <w:tr w:rsidR="00DE68E8" w:rsidRPr="00DE68E8" w14:paraId="28EB3819" w14:textId="77777777" w:rsidTr="002124A2">
        <w:trPr>
          <w:trHeight w:val="657"/>
          <w:jc w:val="center"/>
        </w:trPr>
        <w:tc>
          <w:tcPr>
            <w:tcW w:w="1980" w:type="dxa"/>
            <w:vAlign w:val="center"/>
          </w:tcPr>
          <w:p w14:paraId="3ED4CA12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技术与市场</w:t>
            </w:r>
          </w:p>
          <w:p w14:paraId="0458F114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发展背景</w:t>
            </w:r>
          </w:p>
        </w:tc>
        <w:tc>
          <w:tcPr>
            <w:tcW w:w="7255" w:type="dxa"/>
            <w:gridSpan w:val="6"/>
          </w:tcPr>
          <w:p w14:paraId="5E6F1160" w14:textId="77777777" w:rsidR="00DD4745" w:rsidRDefault="00DD4745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6C25B062" w14:textId="32C1449F" w:rsidR="00CD4716" w:rsidRDefault="00585F89" w:rsidP="00DD4745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甲醇燃料</w:t>
            </w:r>
            <w:r w:rsidR="00DF7522" w:rsidRPr="00DF752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作为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实现绿色环保船舶的重要燃料之一</w:t>
            </w:r>
            <w:r w:rsidR="00DF7522" w:rsidRPr="00DF752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，其重要性日益凸显。而</w:t>
            </w:r>
            <w:r w:rsidR="00C47B8E" w:rsidRPr="00C47B8E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系泊程序，则是确保甲醇燃料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="00C47B8E" w:rsidRPr="00C47B8E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大型油船能够顺利通过码头系泊调试与验证的重要依据和准则</w:t>
            </w:r>
            <w:r w:rsidR="00DF752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。因此，构建一套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完整的甲醇燃料动力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大型油船系泊程序文件，</w:t>
            </w:r>
            <w:r w:rsidR="00CD4716" w:rsidRPr="00CD4716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不仅有助于我们深入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掌握甲醇动力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大型油船系统设计</w:t>
            </w:r>
            <w:r w:rsidR="00CD4716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，</w:t>
            </w:r>
            <w:r w:rsidR="00D963A9" w:rsidRPr="00D963A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更能显著</w:t>
            </w:r>
            <w:r w:rsidR="00CD4716" w:rsidRPr="00CD4716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提升企业的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核心竞争力。</w:t>
            </w:r>
          </w:p>
          <w:p w14:paraId="53B91783" w14:textId="6507ED3E" w:rsidR="00DE68E8" w:rsidRDefault="00CD4716" w:rsidP="00DD4745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此外，</w:t>
            </w:r>
            <w:r w:rsidRPr="00CD4716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该程序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设计指南</w:t>
            </w:r>
            <w:r w:rsidRPr="00CD4716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的建立</w:t>
            </w:r>
            <w:r w:rsidR="00121C7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还</w:t>
            </w:r>
            <w:r w:rsidR="00585F89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有助于</w:t>
            </w:r>
            <w:r w:rsidR="007D1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我国</w:t>
            </w:r>
            <w:r w:rsidR="00585F89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突破甲醇燃料</w:t>
            </w:r>
            <w:r w:rsidR="00A93C7E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船舶</w:t>
            </w:r>
            <w:r w:rsidR="00585F89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系泊程序设计及应用的技术瓶颈，</w:t>
            </w:r>
            <w:r w:rsidR="007D1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抢占</w:t>
            </w:r>
            <w:r w:rsidR="00585F89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甲醇燃料动力</w:t>
            </w:r>
            <w:r w:rsidR="00585F89" w:rsidRPr="00585F89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VLCC</w:t>
            </w:r>
            <w:r w:rsidR="00D968B7" w:rsidRPr="00D968B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（</w:t>
            </w:r>
            <w:r w:rsidR="00D968B7" w:rsidRPr="00D968B7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 xml:space="preserve">Very Large Crude Carrier </w:t>
            </w:r>
            <w:r w:rsidR="00D968B7" w:rsidRPr="00D968B7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超大型油</w:t>
            </w:r>
            <w:r w:rsidR="00DF752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船</w:t>
            </w:r>
            <w:r w:rsidR="00D968B7" w:rsidRPr="00D968B7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）</w:t>
            </w:r>
            <w:r w:rsidR="00585F89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的技术制高点，提升</w:t>
            </w:r>
            <w:r w:rsidR="00585F89" w:rsidRPr="00585F89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VLCC</w:t>
            </w:r>
            <w:r w:rsidR="00585F89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船型的核心竞争力，扩大市场份额，引领</w:t>
            </w:r>
            <w:r w:rsidR="00585F89" w:rsidRPr="00585F89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VLCC</w:t>
            </w:r>
            <w:r w:rsidR="00585F89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船型向低碳、零碳转型发展。</w:t>
            </w:r>
          </w:p>
          <w:p w14:paraId="63254C41" w14:textId="65FA7075" w:rsidR="00DD4745" w:rsidRPr="00585F89" w:rsidRDefault="00DD4745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DE68E8" w:rsidRPr="00DE68E8" w14:paraId="4D81256E" w14:textId="77777777" w:rsidTr="002124A2">
        <w:trPr>
          <w:trHeight w:val="673"/>
          <w:jc w:val="center"/>
        </w:trPr>
        <w:tc>
          <w:tcPr>
            <w:tcW w:w="1980" w:type="dxa"/>
            <w:vAlign w:val="center"/>
          </w:tcPr>
          <w:p w14:paraId="62D3F2CB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标准必要性和</w:t>
            </w:r>
          </w:p>
          <w:p w14:paraId="78163C2C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可行性</w:t>
            </w:r>
          </w:p>
        </w:tc>
        <w:tc>
          <w:tcPr>
            <w:tcW w:w="7255" w:type="dxa"/>
            <w:gridSpan w:val="6"/>
          </w:tcPr>
          <w:p w14:paraId="366A4230" w14:textId="77777777" w:rsidR="00316A5C" w:rsidRDefault="00316A5C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6E7BC0B3" w14:textId="77777777" w:rsidR="00274DFF" w:rsidRDefault="00FC446A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必要性：</w:t>
            </w:r>
          </w:p>
          <w:p w14:paraId="68ECB443" w14:textId="431D2A9F" w:rsidR="00DE68E8" w:rsidRDefault="00585F89" w:rsidP="00274DF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目前</w:t>
            </w:r>
            <w:r w:rsidR="00E72A63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有关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甲醇燃料动力的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大型油船系泊程序设计</w:t>
            </w:r>
            <w:r w:rsidR="00E72A63" w:rsidRPr="00E72A63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缺乏统一的标准和实践经验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，急需制定甲醇燃料动力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大型油船系泊试验程序的标准设计、内容与方法，</w:t>
            </w:r>
            <w:r w:rsidR="006C45E8" w:rsidRPr="006C45E8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填补这一领域的空白</w:t>
            </w:r>
            <w:r w:rsidR="006C45E8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。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为甲醇燃料动力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大型油船系泊试验程序设计提供指导。</w:t>
            </w:r>
          </w:p>
          <w:p w14:paraId="7E97C1E4" w14:textId="77777777" w:rsidR="00445B25" w:rsidRPr="00F73775" w:rsidRDefault="00445B25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371E5D95" w14:textId="77777777" w:rsidR="00274DFF" w:rsidRDefault="00FC446A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可行性：</w:t>
            </w:r>
          </w:p>
          <w:p w14:paraId="55E9DDCD" w14:textId="6AA1EB95" w:rsidR="00FC446A" w:rsidRDefault="00872E81" w:rsidP="00274DF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872E8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甲醇作为一种清洁能源，其技术成熟度经过多年的发展已达到较高水平。无论是甲醇的供应、主机的适配性，还是相关的安全性方面，均已具备较为成熟的解决方案和技术路线。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同时，</w:t>
            </w:r>
            <w:r w:rsidRPr="00872E8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在甲醇燃料动力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872E8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大型油船的</w:t>
            </w:r>
            <w:r w:rsidR="00921596" w:rsidRPr="00921596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系泊</w:t>
            </w:r>
            <w:r w:rsidR="00921596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试验</w:t>
            </w:r>
            <w:r w:rsidRPr="00872E8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过程中，各项技术措施和安全保障措施均已得到充分验证，确保整个过程的安全可控。随着全球对清洁能源和低碳技术的需求不断增加，甲醇燃料动力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872E8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大型油船具有广阔的发</w:t>
            </w:r>
            <w:r w:rsidRPr="00872E8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lastRenderedPageBreak/>
              <w:t>展前景和市场潜力。制定该标准将推动行业的持续进步和创新。</w:t>
            </w:r>
          </w:p>
          <w:p w14:paraId="080F4971" w14:textId="257A0A4C" w:rsidR="00316A5C" w:rsidRPr="00ED5852" w:rsidRDefault="00316A5C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DE68E8" w:rsidRPr="00DE68E8" w14:paraId="00783675" w14:textId="77777777" w:rsidTr="002124A2">
        <w:trPr>
          <w:trHeight w:val="702"/>
          <w:jc w:val="center"/>
        </w:trPr>
        <w:tc>
          <w:tcPr>
            <w:tcW w:w="1980" w:type="dxa"/>
            <w:vAlign w:val="center"/>
          </w:tcPr>
          <w:p w14:paraId="6E85BB55" w14:textId="77777777" w:rsidR="00DE68E8" w:rsidRPr="00DE68E8" w:rsidRDefault="00DE68E8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lastRenderedPageBreak/>
              <w:t>国内外情况</w:t>
            </w:r>
          </w:p>
          <w:p w14:paraId="1B70ABEF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简要说明</w:t>
            </w:r>
          </w:p>
        </w:tc>
        <w:tc>
          <w:tcPr>
            <w:tcW w:w="7255" w:type="dxa"/>
            <w:gridSpan w:val="6"/>
          </w:tcPr>
          <w:p w14:paraId="702CCB92" w14:textId="77777777" w:rsidR="00316A5C" w:rsidRDefault="00316A5C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3B387E9E" w14:textId="61ABEE31" w:rsidR="00DE68E8" w:rsidRDefault="00585F89" w:rsidP="00A52FBB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国内外暂无甲醇燃料动力的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大型油船设计、系泊试验经验，无适用于甲醇燃料动力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大型油船系泊试验程序设计标准或指南。</w:t>
            </w:r>
          </w:p>
          <w:p w14:paraId="4C80B3A2" w14:textId="018A8C64" w:rsidR="00316A5C" w:rsidRPr="00585F89" w:rsidRDefault="00316A5C" w:rsidP="00ED5852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DE68E8" w:rsidRPr="00DE68E8" w14:paraId="4AF81A97" w14:textId="77777777" w:rsidTr="00AB5A96">
        <w:trPr>
          <w:trHeight w:val="2596"/>
          <w:jc w:val="center"/>
        </w:trPr>
        <w:tc>
          <w:tcPr>
            <w:tcW w:w="1980" w:type="dxa"/>
            <w:vAlign w:val="center"/>
          </w:tcPr>
          <w:p w14:paraId="1ECDC97F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标准适用范围</w:t>
            </w:r>
          </w:p>
          <w:p w14:paraId="57B7E04F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和主要技术内容</w:t>
            </w:r>
          </w:p>
        </w:tc>
        <w:tc>
          <w:tcPr>
            <w:tcW w:w="7255" w:type="dxa"/>
            <w:gridSpan w:val="6"/>
          </w:tcPr>
          <w:p w14:paraId="18BAA653" w14:textId="77777777" w:rsidR="00316A5C" w:rsidRDefault="00316A5C" w:rsidP="00ED5852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0135AC59" w14:textId="77777777" w:rsidR="00274DFF" w:rsidRDefault="00B76171" w:rsidP="00ED5852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适用范围</w:t>
            </w:r>
            <w:r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：</w:t>
            </w:r>
          </w:p>
          <w:p w14:paraId="43FF97B5" w14:textId="65E53C6F" w:rsidR="00316A5C" w:rsidRDefault="00585F89" w:rsidP="00274DF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本指南</w:t>
            </w:r>
            <w:r w:rsidR="00363335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提出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了甲醇燃料动力</w:t>
            </w:r>
            <w:r w:rsidR="00E57787" w:rsidRPr="00E5778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大型油船系泊试验程序的设计准则、设计内容与方法</w:t>
            </w:r>
            <w:r w:rsidR="00487C6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的指导</w:t>
            </w:r>
            <w:r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。</w:t>
            </w:r>
          </w:p>
          <w:p w14:paraId="358D851A" w14:textId="77777777" w:rsidR="00274DFF" w:rsidRDefault="00226FBF" w:rsidP="00226FBF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主要技术内容包含有：</w:t>
            </w:r>
          </w:p>
          <w:p w14:paraId="3B2E33B4" w14:textId="7A52601B" w:rsidR="00226FBF" w:rsidRDefault="00226FBF" w:rsidP="00274DF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1.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主机、发电机和锅炉的燃料转换试验；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2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.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主机系泊试验；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3.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发电机系泊试验；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4.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锅炉系泊试验；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5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.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甲醇舱液位遥测系统试验；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6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.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真空双壁管效用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检测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程序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；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7.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双壁管风机效用试验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；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8</w:t>
            </w:r>
            <w:r w:rsidRPr="00226FBF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.</w:t>
            </w:r>
            <w:r w:rsidRPr="00226FB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甲醇燃料供给系统试验</w:t>
            </w:r>
            <w:r w:rsidR="001A1A6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。</w:t>
            </w:r>
          </w:p>
          <w:p w14:paraId="5C83E514" w14:textId="2709B9EB" w:rsidR="00316A5C" w:rsidRPr="00585F89" w:rsidRDefault="00316A5C" w:rsidP="00226FBF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DE68E8" w:rsidRPr="00DE68E8" w14:paraId="02C072BD" w14:textId="77777777" w:rsidTr="002124A2">
        <w:trPr>
          <w:trHeight w:val="510"/>
          <w:jc w:val="center"/>
        </w:trPr>
        <w:tc>
          <w:tcPr>
            <w:tcW w:w="1980" w:type="dxa"/>
            <w:vAlign w:val="center"/>
          </w:tcPr>
          <w:p w14:paraId="2B20E308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工作进度安排</w:t>
            </w:r>
          </w:p>
        </w:tc>
        <w:tc>
          <w:tcPr>
            <w:tcW w:w="7255" w:type="dxa"/>
            <w:gridSpan w:val="6"/>
          </w:tcPr>
          <w:p w14:paraId="47CC98A1" w14:textId="77777777" w:rsidR="00A52FBB" w:rsidRDefault="00A52FBB" w:rsidP="00DE68E8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1836223B" w14:textId="77777777" w:rsidR="002F7AAB" w:rsidRPr="002F7AAB" w:rsidRDefault="002F7AAB" w:rsidP="002F7AAB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2F7AAB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草案提交：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2025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年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4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月</w:t>
            </w:r>
          </w:p>
          <w:p w14:paraId="6FCBE069" w14:textId="77777777" w:rsidR="002F7AAB" w:rsidRPr="002F7AAB" w:rsidRDefault="002F7AAB" w:rsidP="002F7AAB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2F7AAB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预期立项：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2025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年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5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月</w:t>
            </w:r>
          </w:p>
          <w:p w14:paraId="222CAFCE" w14:textId="77777777" w:rsidR="00A52FBB" w:rsidRDefault="002F7AAB" w:rsidP="002F7AAB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2F7AAB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预期发布：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2025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年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12</w:t>
            </w:r>
            <w:r w:rsidRPr="002F7AAB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月</w:t>
            </w:r>
          </w:p>
          <w:p w14:paraId="27B26B05" w14:textId="23417B87" w:rsidR="002F7AAB" w:rsidRPr="00ED5852" w:rsidRDefault="002F7AAB" w:rsidP="002F7AAB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DE68E8" w:rsidRPr="00DE68E8" w14:paraId="70D269FF" w14:textId="77777777" w:rsidTr="002124A2">
        <w:trPr>
          <w:trHeight w:val="834"/>
          <w:jc w:val="center"/>
        </w:trPr>
        <w:tc>
          <w:tcPr>
            <w:tcW w:w="1980" w:type="dxa"/>
            <w:vAlign w:val="center"/>
          </w:tcPr>
          <w:p w14:paraId="2BFE80EC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标准预期实施</w:t>
            </w:r>
          </w:p>
          <w:p w14:paraId="5DA4A36B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应用方案</w:t>
            </w:r>
          </w:p>
        </w:tc>
        <w:tc>
          <w:tcPr>
            <w:tcW w:w="7255" w:type="dxa"/>
            <w:gridSpan w:val="6"/>
          </w:tcPr>
          <w:p w14:paraId="01596048" w14:textId="77777777" w:rsidR="00316A5C" w:rsidRDefault="00316A5C" w:rsidP="000E7A30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4D9B07EC" w14:textId="77777777" w:rsidR="00DE68E8" w:rsidRDefault="00DC737C" w:rsidP="000E7A30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DC737C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提供团体标准编制所需的经费。（含学会标准管理费用、标准编制过程中因技术交流、调研等发生的差旅费、会议费、审查费、专家咨询费等）。</w:t>
            </w:r>
          </w:p>
          <w:p w14:paraId="101E2DDE" w14:textId="2771A386" w:rsidR="00A71584" w:rsidRPr="00DC737C" w:rsidRDefault="00A71584" w:rsidP="000E7A30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DE68E8" w:rsidRPr="00DE68E8" w14:paraId="7E079448" w14:textId="77777777" w:rsidTr="002124A2">
        <w:trPr>
          <w:trHeight w:val="422"/>
          <w:jc w:val="center"/>
        </w:trPr>
        <w:tc>
          <w:tcPr>
            <w:tcW w:w="1980" w:type="dxa"/>
            <w:vAlign w:val="center"/>
          </w:tcPr>
          <w:p w14:paraId="53395F5C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经费保障</w:t>
            </w:r>
          </w:p>
        </w:tc>
        <w:tc>
          <w:tcPr>
            <w:tcW w:w="7255" w:type="dxa"/>
            <w:gridSpan w:val="6"/>
          </w:tcPr>
          <w:p w14:paraId="1BF14E63" w14:textId="77777777" w:rsidR="00316A5C" w:rsidRDefault="00316A5C" w:rsidP="00DE68E8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55BCC9FC" w14:textId="77777777" w:rsidR="00DE68E8" w:rsidRDefault="00ED5852" w:rsidP="000E7A30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本项目为国家部委科研项目，通过定向资金保障经费</w:t>
            </w:r>
          </w:p>
          <w:p w14:paraId="5B0C32D9" w14:textId="1358EE5B" w:rsidR="00316A5C" w:rsidRPr="00ED5852" w:rsidRDefault="00316A5C" w:rsidP="00DE68E8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DE68E8" w:rsidRPr="00DE68E8" w14:paraId="09A0E735" w14:textId="77777777" w:rsidTr="00A95777">
        <w:trPr>
          <w:trHeight w:val="1750"/>
          <w:jc w:val="center"/>
        </w:trPr>
        <w:tc>
          <w:tcPr>
            <w:tcW w:w="1980" w:type="dxa"/>
            <w:vAlign w:val="center"/>
          </w:tcPr>
          <w:p w14:paraId="03D08C1D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技术基础及</w:t>
            </w:r>
          </w:p>
          <w:p w14:paraId="729BF50C" w14:textId="77777777" w:rsidR="00DE68E8" w:rsidRPr="00DE68E8" w:rsidRDefault="00DE68E8" w:rsidP="00DE68E8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研究团队</w:t>
            </w:r>
          </w:p>
        </w:tc>
        <w:tc>
          <w:tcPr>
            <w:tcW w:w="7255" w:type="dxa"/>
            <w:gridSpan w:val="6"/>
          </w:tcPr>
          <w:p w14:paraId="2BEF3929" w14:textId="77777777" w:rsidR="00316A5C" w:rsidRDefault="00316A5C" w:rsidP="001A1DD1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2D4276E4" w14:textId="469DB9D7" w:rsidR="001A1DD1" w:rsidRDefault="00ED5852" w:rsidP="00CE5258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大连船舶重工集团有限公司隶属于中国船舶集团有限公司，是国内领先、国际知名的船舶企业，汇聚了军工、民船、海洋工程装备、修船、重工等五大业务板块的装备制造企业集团。</w:t>
            </w:r>
          </w:p>
          <w:p w14:paraId="6205CEFF" w14:textId="77777777" w:rsidR="00DE68E8" w:rsidRDefault="00ED5852" w:rsidP="003A5653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负责人：</w:t>
            </w:r>
            <w:r w:rsidRPr="001A1DD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徐恩广</w:t>
            </w: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，参研人员</w:t>
            </w: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: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刘清江</w:t>
            </w:r>
          </w:p>
          <w:p w14:paraId="6414B642" w14:textId="13709B63" w:rsidR="00316A5C" w:rsidRPr="00ED5852" w:rsidRDefault="00316A5C" w:rsidP="001A1DD1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DE68E8" w:rsidRPr="00DE68E8" w14:paraId="4CC1152A" w14:textId="77777777" w:rsidTr="002124A2">
        <w:trPr>
          <w:trHeight w:val="944"/>
          <w:jc w:val="center"/>
        </w:trPr>
        <w:tc>
          <w:tcPr>
            <w:tcW w:w="1980" w:type="dxa"/>
            <w:vAlign w:val="center"/>
          </w:tcPr>
          <w:p w14:paraId="7CD29EF0" w14:textId="77777777" w:rsidR="00DE68E8" w:rsidRPr="00DE68E8" w:rsidRDefault="00DE68E8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申请立项单位</w:t>
            </w:r>
          </w:p>
          <w:p w14:paraId="3728505A" w14:textId="77777777" w:rsidR="00DE68E8" w:rsidRPr="00DE68E8" w:rsidRDefault="00DE68E8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意见</w:t>
            </w:r>
          </w:p>
        </w:tc>
        <w:tc>
          <w:tcPr>
            <w:tcW w:w="7255" w:type="dxa"/>
            <w:gridSpan w:val="6"/>
            <w:vAlign w:val="bottom"/>
          </w:tcPr>
          <w:p w14:paraId="209F6D94" w14:textId="77777777" w:rsidR="00DE68E8" w:rsidRPr="00DE68E8" w:rsidRDefault="00DE68E8" w:rsidP="00DE68E8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（盖章）                                          </w:t>
            </w:r>
          </w:p>
          <w:p w14:paraId="1F3B9B49" w14:textId="77777777" w:rsidR="00DE68E8" w:rsidRPr="00DE68E8" w:rsidRDefault="00DE68E8" w:rsidP="00DE68E8">
            <w:pPr>
              <w:jc w:val="right"/>
              <w:rPr>
                <w:rFonts w:ascii="黑体" w:eastAsia="黑体" w:hAnsi="宋体" w:cs="Times New Roman"/>
                <w:snapToGrid w:val="0"/>
                <w:color w:val="00000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</w:tr>
      <w:tr w:rsidR="00DE68E8" w:rsidRPr="00DE68E8" w14:paraId="44F3A7F6" w14:textId="77777777" w:rsidTr="00AB5A96">
        <w:trPr>
          <w:trHeight w:val="1876"/>
          <w:jc w:val="center"/>
        </w:trPr>
        <w:tc>
          <w:tcPr>
            <w:tcW w:w="1980" w:type="dxa"/>
            <w:vAlign w:val="center"/>
          </w:tcPr>
          <w:p w14:paraId="2655B756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标准化学术</w:t>
            </w:r>
          </w:p>
          <w:p w14:paraId="4167383B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委员会意见</w:t>
            </w:r>
          </w:p>
        </w:tc>
        <w:tc>
          <w:tcPr>
            <w:tcW w:w="2596" w:type="dxa"/>
            <w:gridSpan w:val="2"/>
            <w:vAlign w:val="bottom"/>
          </w:tcPr>
          <w:p w14:paraId="2FE50F0B" w14:textId="77777777" w:rsidR="00DE68E8" w:rsidRPr="00DE68E8" w:rsidRDefault="00DE68E8" w:rsidP="00DE68E8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（签名、盖章）     </w:t>
            </w:r>
          </w:p>
          <w:p w14:paraId="017EEA26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7CE95C6A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1F8B3995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3B2CDDE0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中国造船工程</w:t>
            </w:r>
          </w:p>
          <w:p w14:paraId="43489E8F" w14:textId="77777777" w:rsidR="00DE68E8" w:rsidRPr="00DE68E8" w:rsidRDefault="00DE68E8" w:rsidP="00DE68E8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学会意见</w:t>
            </w:r>
          </w:p>
        </w:tc>
        <w:tc>
          <w:tcPr>
            <w:tcW w:w="2674" w:type="dxa"/>
            <w:vAlign w:val="bottom"/>
          </w:tcPr>
          <w:p w14:paraId="53F7B907" w14:textId="77777777" w:rsidR="00DE68E8" w:rsidRPr="00DE68E8" w:rsidRDefault="00DE68E8" w:rsidP="00DE68E8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（签名、盖章）             </w:t>
            </w:r>
          </w:p>
          <w:p w14:paraId="61821CA7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57922E13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1DFE6EF6" w14:textId="77777777" w:rsidR="00DE68E8" w:rsidRPr="00DE68E8" w:rsidRDefault="00DE68E8" w:rsidP="00DE68E8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</w:tr>
      <w:bookmarkEnd w:id="0"/>
    </w:tbl>
    <w:p w14:paraId="527F64FA" w14:textId="31C410F3" w:rsidR="00DE68E8" w:rsidRPr="00D475DA" w:rsidRDefault="00DE68E8" w:rsidP="00D475DA">
      <w:pPr>
        <w:jc w:val="left"/>
        <w:rPr>
          <w:rFonts w:ascii="仿宋_GB2312" w:eastAsia="仿宋_GB2312" w:hAnsi="Calibri" w:cs="Times New Roman"/>
          <w:snapToGrid w:val="0"/>
          <w:kern w:val="0"/>
          <w:sz w:val="24"/>
          <w:szCs w:val="21"/>
          <w14:ligatures w14:val="none"/>
        </w:rPr>
      </w:pPr>
    </w:p>
    <w:sectPr w:rsidR="00DE68E8" w:rsidRPr="00D475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D2E7C" w14:textId="77777777" w:rsidR="00AA10BD" w:rsidRDefault="00AA10BD" w:rsidP="00DE68E8">
      <w:r>
        <w:separator/>
      </w:r>
    </w:p>
  </w:endnote>
  <w:endnote w:type="continuationSeparator" w:id="0">
    <w:p w14:paraId="6299BF8C" w14:textId="77777777" w:rsidR="00AA10BD" w:rsidRDefault="00AA10BD" w:rsidP="00DE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8F451" w14:textId="77777777" w:rsidR="00AA10BD" w:rsidRDefault="00AA10BD" w:rsidP="00DE68E8">
      <w:r>
        <w:separator/>
      </w:r>
    </w:p>
  </w:footnote>
  <w:footnote w:type="continuationSeparator" w:id="0">
    <w:p w14:paraId="7343A192" w14:textId="77777777" w:rsidR="00AA10BD" w:rsidRDefault="00AA10BD" w:rsidP="00DE6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48E"/>
    <w:rsid w:val="000055B6"/>
    <w:rsid w:val="000547B9"/>
    <w:rsid w:val="0006253B"/>
    <w:rsid w:val="00065C5B"/>
    <w:rsid w:val="000D1964"/>
    <w:rsid w:val="000D22F4"/>
    <w:rsid w:val="000E7A30"/>
    <w:rsid w:val="00121C7F"/>
    <w:rsid w:val="001537E7"/>
    <w:rsid w:val="00157D52"/>
    <w:rsid w:val="001A1A61"/>
    <w:rsid w:val="001A1DD1"/>
    <w:rsid w:val="001E0215"/>
    <w:rsid w:val="001F6808"/>
    <w:rsid w:val="00200C8D"/>
    <w:rsid w:val="00202E36"/>
    <w:rsid w:val="00226FBF"/>
    <w:rsid w:val="00274DFF"/>
    <w:rsid w:val="00275F89"/>
    <w:rsid w:val="002B199C"/>
    <w:rsid w:val="002F7AAB"/>
    <w:rsid w:val="00316A5C"/>
    <w:rsid w:val="00363335"/>
    <w:rsid w:val="003A535C"/>
    <w:rsid w:val="003A5653"/>
    <w:rsid w:val="003B3975"/>
    <w:rsid w:val="003F11AB"/>
    <w:rsid w:val="0040248E"/>
    <w:rsid w:val="004223DA"/>
    <w:rsid w:val="00445B25"/>
    <w:rsid w:val="00474408"/>
    <w:rsid w:val="004810BD"/>
    <w:rsid w:val="00487C69"/>
    <w:rsid w:val="004C7DAF"/>
    <w:rsid w:val="004D13A0"/>
    <w:rsid w:val="004F17F6"/>
    <w:rsid w:val="00521404"/>
    <w:rsid w:val="00562F5C"/>
    <w:rsid w:val="00585F89"/>
    <w:rsid w:val="005F2E0B"/>
    <w:rsid w:val="005F675E"/>
    <w:rsid w:val="005F7EE7"/>
    <w:rsid w:val="006C45E8"/>
    <w:rsid w:val="0072097E"/>
    <w:rsid w:val="00766234"/>
    <w:rsid w:val="007D1340"/>
    <w:rsid w:val="0080444A"/>
    <w:rsid w:val="008157DD"/>
    <w:rsid w:val="00856A18"/>
    <w:rsid w:val="008617D4"/>
    <w:rsid w:val="00863964"/>
    <w:rsid w:val="00872E81"/>
    <w:rsid w:val="00875402"/>
    <w:rsid w:val="008822E1"/>
    <w:rsid w:val="008A6948"/>
    <w:rsid w:val="008B2CD1"/>
    <w:rsid w:val="008E0754"/>
    <w:rsid w:val="008F6335"/>
    <w:rsid w:val="00921596"/>
    <w:rsid w:val="00957E03"/>
    <w:rsid w:val="00992943"/>
    <w:rsid w:val="009C66C8"/>
    <w:rsid w:val="00A24D75"/>
    <w:rsid w:val="00A52FBB"/>
    <w:rsid w:val="00A71584"/>
    <w:rsid w:val="00A93C7E"/>
    <w:rsid w:val="00A95777"/>
    <w:rsid w:val="00AA10BD"/>
    <w:rsid w:val="00AB5A96"/>
    <w:rsid w:val="00AD41E7"/>
    <w:rsid w:val="00AE6B69"/>
    <w:rsid w:val="00AF521E"/>
    <w:rsid w:val="00B24A04"/>
    <w:rsid w:val="00B676EF"/>
    <w:rsid w:val="00B76171"/>
    <w:rsid w:val="00BC1626"/>
    <w:rsid w:val="00BC1974"/>
    <w:rsid w:val="00BC4461"/>
    <w:rsid w:val="00C01127"/>
    <w:rsid w:val="00C12771"/>
    <w:rsid w:val="00C17398"/>
    <w:rsid w:val="00C47B8E"/>
    <w:rsid w:val="00CB63FE"/>
    <w:rsid w:val="00CD4716"/>
    <w:rsid w:val="00CE5258"/>
    <w:rsid w:val="00CE768E"/>
    <w:rsid w:val="00D475DA"/>
    <w:rsid w:val="00D963A9"/>
    <w:rsid w:val="00D968B7"/>
    <w:rsid w:val="00D96BE8"/>
    <w:rsid w:val="00D97935"/>
    <w:rsid w:val="00DB581F"/>
    <w:rsid w:val="00DC737C"/>
    <w:rsid w:val="00DD4745"/>
    <w:rsid w:val="00DE68E8"/>
    <w:rsid w:val="00DF7522"/>
    <w:rsid w:val="00E020F0"/>
    <w:rsid w:val="00E33985"/>
    <w:rsid w:val="00E57787"/>
    <w:rsid w:val="00E72A63"/>
    <w:rsid w:val="00ED5852"/>
    <w:rsid w:val="00EF3E77"/>
    <w:rsid w:val="00F63908"/>
    <w:rsid w:val="00F73775"/>
    <w:rsid w:val="00F75877"/>
    <w:rsid w:val="00F87DB8"/>
    <w:rsid w:val="00FC04F5"/>
    <w:rsid w:val="00FC446A"/>
    <w:rsid w:val="00FF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5CE9A"/>
  <w15:docId w15:val="{743CED5F-211B-4727-9E7C-5A195379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248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4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248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248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248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248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248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248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0248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024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024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0248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0248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0248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0248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0248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0248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024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02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24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024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24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024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24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024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024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024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0248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E68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E68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E6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E68E8"/>
    <w:rPr>
      <w:sz w:val="18"/>
      <w:szCs w:val="18"/>
    </w:rPr>
  </w:style>
  <w:style w:type="paragraph" w:styleId="af2">
    <w:name w:val="Plain Text"/>
    <w:basedOn w:val="a"/>
    <w:link w:val="af3"/>
    <w:uiPriority w:val="99"/>
    <w:semiHidden/>
    <w:unhideWhenUsed/>
    <w:rsid w:val="00ED5852"/>
    <w:pPr>
      <w:jc w:val="left"/>
    </w:pPr>
    <w:rPr>
      <w:rFonts w:ascii="Calibri" w:eastAsia="等线" w:hAnsi="Courier New" w:cs="Courier New"/>
      <w:sz w:val="24"/>
      <w14:ligatures w14:val="none"/>
    </w:rPr>
  </w:style>
  <w:style w:type="character" w:customStyle="1" w:styleId="af3">
    <w:name w:val="纯文本 字符"/>
    <w:basedOn w:val="a0"/>
    <w:link w:val="af2"/>
    <w:uiPriority w:val="99"/>
    <w:semiHidden/>
    <w:rsid w:val="00ED5852"/>
    <w:rPr>
      <w:rFonts w:ascii="Calibri" w:eastAsia="等线" w:hAnsi="Courier New" w:cs="Courier New"/>
      <w:sz w:val="24"/>
      <w14:ligatures w14:val="none"/>
    </w:rPr>
  </w:style>
  <w:style w:type="character" w:styleId="af4">
    <w:name w:val="annotation reference"/>
    <w:basedOn w:val="a0"/>
    <w:uiPriority w:val="99"/>
    <w:semiHidden/>
    <w:unhideWhenUsed/>
    <w:rsid w:val="00E020F0"/>
    <w:rPr>
      <w:sz w:val="21"/>
      <w:szCs w:val="21"/>
    </w:rPr>
  </w:style>
  <w:style w:type="paragraph" w:styleId="af5">
    <w:name w:val="annotation text"/>
    <w:basedOn w:val="a"/>
    <w:link w:val="af6"/>
    <w:uiPriority w:val="99"/>
    <w:semiHidden/>
    <w:unhideWhenUsed/>
    <w:rsid w:val="00E020F0"/>
    <w:pPr>
      <w:jc w:val="left"/>
    </w:pPr>
  </w:style>
  <w:style w:type="character" w:customStyle="1" w:styleId="af6">
    <w:name w:val="批注文字 字符"/>
    <w:basedOn w:val="a0"/>
    <w:link w:val="af5"/>
    <w:uiPriority w:val="99"/>
    <w:semiHidden/>
    <w:rsid w:val="00E020F0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020F0"/>
    <w:rPr>
      <w:b/>
      <w:bCs/>
    </w:rPr>
  </w:style>
  <w:style w:type="character" w:customStyle="1" w:styleId="af8">
    <w:name w:val="批注主题 字符"/>
    <w:basedOn w:val="af6"/>
    <w:link w:val="af7"/>
    <w:uiPriority w:val="99"/>
    <w:semiHidden/>
    <w:rsid w:val="00E020F0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E020F0"/>
    <w:rPr>
      <w:sz w:val="18"/>
      <w:szCs w:val="18"/>
    </w:rPr>
  </w:style>
  <w:style w:type="character" w:customStyle="1" w:styleId="afa">
    <w:name w:val="批注框文本 字符"/>
    <w:basedOn w:val="a0"/>
    <w:link w:val="af9"/>
    <w:uiPriority w:val="99"/>
    <w:semiHidden/>
    <w:rsid w:val="00E020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2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BAC99-6AA2-437B-ABFB-B7EB4517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biaoyan</cp:lastModifiedBy>
  <cp:revision>6</cp:revision>
  <dcterms:created xsi:type="dcterms:W3CDTF">2025-04-25T08:12:00Z</dcterms:created>
  <dcterms:modified xsi:type="dcterms:W3CDTF">2025-05-09T00:32:00Z</dcterms:modified>
</cp:coreProperties>
</file>