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3D" w:rsidRDefault="00C3423D" w:rsidP="00C3423D">
      <w:pPr>
        <w:spacing w:line="360" w:lineRule="auto"/>
        <w:jc w:val="left"/>
        <w:outlineLvl w:val="0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:rsidR="00C3423D" w:rsidRDefault="00C3423D" w:rsidP="00C3423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749"/>
        <w:gridCol w:w="763"/>
        <w:gridCol w:w="765"/>
        <w:gridCol w:w="3040"/>
      </w:tblGrid>
      <w:tr w:rsidR="00C3423D" w:rsidTr="00A74A7E">
        <w:trPr>
          <w:trHeight w:val="605"/>
          <w:jc w:val="center"/>
        </w:trPr>
        <w:tc>
          <w:tcPr>
            <w:tcW w:w="1193" w:type="pct"/>
            <w:vAlign w:val="center"/>
          </w:tcPr>
          <w:p w:rsidR="00A74A7E" w:rsidRDefault="00C3423D" w:rsidP="00A74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C3423D" w:rsidRDefault="00C3423D" w:rsidP="00A74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3807" w:type="pct"/>
            <w:gridSpan w:val="4"/>
            <w:vAlign w:val="center"/>
          </w:tcPr>
          <w:p w:rsidR="00C3423D" w:rsidRDefault="000E3B01" w:rsidP="00716538">
            <w:pPr>
              <w:jc w:val="center"/>
              <w:rPr>
                <w:sz w:val="24"/>
              </w:rPr>
            </w:pPr>
            <w:r w:rsidRPr="000E3B01">
              <w:rPr>
                <w:rFonts w:hint="eastAsia"/>
                <w:sz w:val="24"/>
              </w:rPr>
              <w:t>船用甲醇双燃料辅锅炉技术条件</w:t>
            </w:r>
          </w:p>
        </w:tc>
      </w:tr>
      <w:tr w:rsidR="00C3423D" w:rsidRPr="006848FF" w:rsidTr="00A74A7E">
        <w:trPr>
          <w:trHeight w:val="605"/>
          <w:jc w:val="center"/>
        </w:trPr>
        <w:tc>
          <w:tcPr>
            <w:tcW w:w="1193" w:type="pct"/>
            <w:vAlign w:val="center"/>
          </w:tcPr>
          <w:p w:rsidR="00A74A7E" w:rsidRDefault="00C3423D" w:rsidP="00A74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C3423D" w:rsidRDefault="00C3423D" w:rsidP="00A74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3807" w:type="pct"/>
            <w:gridSpan w:val="4"/>
            <w:vAlign w:val="center"/>
          </w:tcPr>
          <w:p w:rsidR="00C3423D" w:rsidRPr="008E1A9B" w:rsidRDefault="000E3B01" w:rsidP="00716538">
            <w:pPr>
              <w:jc w:val="center"/>
              <w:rPr>
                <w:rFonts w:ascii="宋体" w:eastAsia="宋体" w:hAnsi="宋体"/>
                <w:sz w:val="24"/>
              </w:rPr>
            </w:pPr>
            <w:r w:rsidRPr="008E1A9B">
              <w:rPr>
                <w:rFonts w:ascii="宋体" w:eastAsia="宋体" w:hAnsi="宋体"/>
                <w:sz w:val="24"/>
              </w:rPr>
              <w:t>Technical specifications for marine methanol dual-fu</w:t>
            </w:r>
            <w:r w:rsidR="006848FF" w:rsidRPr="008E1A9B">
              <w:rPr>
                <w:rFonts w:ascii="宋体" w:eastAsia="宋体" w:hAnsi="宋体"/>
                <w:sz w:val="24"/>
              </w:rPr>
              <w:t>el</w:t>
            </w:r>
            <w:r w:rsidRPr="008E1A9B">
              <w:rPr>
                <w:rFonts w:ascii="宋体" w:eastAsia="宋体" w:hAnsi="宋体"/>
                <w:sz w:val="24"/>
              </w:rPr>
              <w:t xml:space="preserve"> auxiliary boiler</w:t>
            </w:r>
          </w:p>
        </w:tc>
      </w:tr>
      <w:tr w:rsidR="00C3423D" w:rsidTr="0054273D">
        <w:trPr>
          <w:trHeight w:val="540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1054" w:type="pct"/>
            <w:vAlign w:val="center"/>
          </w:tcPr>
          <w:p w:rsidR="0054273D" w:rsidRDefault="00A52597" w:rsidP="00716538">
            <w:pPr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sym w:font="Wingdings 2" w:char="F052"/>
            </w:r>
            <w:r w:rsidR="00C3423D">
              <w:rPr>
                <w:rFonts w:hAnsiTheme="minorEastAsia" w:hint="eastAsia"/>
                <w:sz w:val="24"/>
              </w:rPr>
              <w:t xml:space="preserve">制定   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□修订</w:t>
            </w:r>
          </w:p>
        </w:tc>
        <w:tc>
          <w:tcPr>
            <w:tcW w:w="921" w:type="pct"/>
            <w:gridSpan w:val="2"/>
            <w:vAlign w:val="center"/>
          </w:tcPr>
          <w:p w:rsidR="005427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标准号</w:t>
            </w:r>
          </w:p>
        </w:tc>
        <w:tc>
          <w:tcPr>
            <w:tcW w:w="1832" w:type="pct"/>
            <w:vAlign w:val="center"/>
          </w:tcPr>
          <w:p w:rsidR="00C3423D" w:rsidRDefault="00C3423D" w:rsidP="00FF3E1A">
            <w:pPr>
              <w:jc w:val="center"/>
              <w:rPr>
                <w:sz w:val="24"/>
              </w:rPr>
            </w:pPr>
          </w:p>
        </w:tc>
      </w:tr>
      <w:tr w:rsidR="00C3423D" w:rsidTr="0054273D">
        <w:trPr>
          <w:trHeight w:val="540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1054" w:type="pct"/>
            <w:vAlign w:val="center"/>
          </w:tcPr>
          <w:p w:rsidR="00C3423D" w:rsidRPr="00E55048" w:rsidRDefault="00C3423D" w:rsidP="003F0615">
            <w:pPr>
              <w:rPr>
                <w:rFonts w:hAnsiTheme="minorEastAsia"/>
                <w:iCs/>
                <w:sz w:val="24"/>
                <w:highlight w:val="yellow"/>
              </w:rPr>
            </w:pPr>
          </w:p>
        </w:tc>
        <w:tc>
          <w:tcPr>
            <w:tcW w:w="921" w:type="pct"/>
            <w:gridSpan w:val="2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1832" w:type="pct"/>
            <w:vAlign w:val="center"/>
          </w:tcPr>
          <w:p w:rsidR="00C3423D" w:rsidRDefault="00921F58" w:rsidP="00716538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</w:t>
            </w:r>
            <w:r w:rsidR="00C3423D">
              <w:rPr>
                <w:rFonts w:hAnsiTheme="minorEastAsia" w:hint="eastAsia"/>
                <w:sz w:val="24"/>
              </w:rPr>
              <w:t xml:space="preserve">12个月  </w:t>
            </w:r>
            <w:r w:rsidR="00493D19">
              <w:rPr>
                <w:rFonts w:hAnsiTheme="minorEastAsia"/>
                <w:sz w:val="24"/>
              </w:rPr>
              <w:t xml:space="preserve"> </w:t>
            </w:r>
            <w:r w:rsidR="00C3423D">
              <w:rPr>
                <w:rFonts w:hAnsiTheme="minorEastAsia" w:hint="eastAsia"/>
                <w:sz w:val="24"/>
              </w:rPr>
              <w:t xml:space="preserve">□18个月   </w:t>
            </w:r>
          </w:p>
          <w:p w:rsidR="00C3423D" w:rsidRDefault="00921F58" w:rsidP="00716538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sym w:font="Wingdings 2" w:char="F052"/>
            </w:r>
            <w:r w:rsidR="00C3423D">
              <w:rPr>
                <w:rFonts w:hAnsiTheme="minorEastAsia" w:hint="eastAsia"/>
                <w:sz w:val="24"/>
              </w:rPr>
              <w:t>其他</w:t>
            </w:r>
            <w:r w:rsidR="00C3423D" w:rsidRPr="00921F58">
              <w:rPr>
                <w:rFonts w:hAnsiTheme="minorEastAsia" w:hint="eastAsia"/>
                <w:sz w:val="24"/>
                <w:u w:val="single"/>
              </w:rPr>
              <w:t xml:space="preserve"> </w:t>
            </w:r>
            <w:r>
              <w:rPr>
                <w:rFonts w:hAnsiTheme="minorEastAsia"/>
                <w:sz w:val="24"/>
                <w:u w:val="single"/>
              </w:rPr>
              <w:t xml:space="preserve">  </w:t>
            </w:r>
            <w:r w:rsidRPr="00921F58">
              <w:rPr>
                <w:rFonts w:hAnsiTheme="minorEastAsia"/>
                <w:sz w:val="24"/>
                <w:u w:val="single"/>
              </w:rPr>
              <w:t>7</w:t>
            </w:r>
            <w:r w:rsidRPr="00921F58">
              <w:rPr>
                <w:rFonts w:hAnsiTheme="minorEastAsia" w:hint="eastAsia"/>
                <w:sz w:val="24"/>
                <w:u w:val="single"/>
              </w:rPr>
              <w:t>个月</w:t>
            </w:r>
            <w:r w:rsidR="00C3423D">
              <w:rPr>
                <w:rFonts w:hAnsiTheme="minorEastAsia" w:hint="eastAsia"/>
                <w:sz w:val="24"/>
                <w:u w:val="single"/>
              </w:rPr>
              <w:t xml:space="preserve">   </w:t>
            </w:r>
          </w:p>
        </w:tc>
      </w:tr>
      <w:tr w:rsidR="00C3423D" w:rsidTr="00A74A7E">
        <w:trPr>
          <w:trHeight w:val="548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3807" w:type="pct"/>
            <w:gridSpan w:val="4"/>
            <w:vAlign w:val="center"/>
          </w:tcPr>
          <w:p w:rsidR="00C3423D" w:rsidRDefault="0045737A" w:rsidP="007165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中船九江锅炉有限公司</w:t>
            </w:r>
            <w:r w:rsidR="00587CA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上海船舶研究设计院</w:t>
            </w:r>
            <w:r w:rsidR="00587CA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中船黄埔文冲船舶有限公司</w:t>
            </w:r>
          </w:p>
        </w:tc>
      </w:tr>
      <w:tr w:rsidR="00C3423D" w:rsidTr="0054273D">
        <w:trPr>
          <w:trHeight w:val="548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054" w:type="pct"/>
            <w:vAlign w:val="center"/>
          </w:tcPr>
          <w:p w:rsidR="00C3423D" w:rsidRDefault="00606F5F" w:rsidP="007165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孙建平</w:t>
            </w:r>
          </w:p>
        </w:tc>
        <w:tc>
          <w:tcPr>
            <w:tcW w:w="460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293" w:type="pct"/>
            <w:gridSpan w:val="2"/>
            <w:vAlign w:val="center"/>
          </w:tcPr>
          <w:p w:rsidR="00FF3E1A" w:rsidRDefault="00C642F1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江西省九江市濂溪区</w:t>
            </w:r>
          </w:p>
          <w:p w:rsidR="00C3423D" w:rsidRDefault="00CE05CA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长江大道1</w:t>
            </w:r>
            <w:r>
              <w:rPr>
                <w:sz w:val="24"/>
              </w:rPr>
              <w:t>699号</w:t>
            </w:r>
          </w:p>
        </w:tc>
      </w:tr>
      <w:tr w:rsidR="00C3423D" w:rsidTr="0054273D">
        <w:trPr>
          <w:trHeight w:val="548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054" w:type="pct"/>
            <w:vAlign w:val="center"/>
          </w:tcPr>
          <w:p w:rsidR="00C3423D" w:rsidRDefault="00606F5F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3101530710</w:t>
            </w:r>
          </w:p>
        </w:tc>
        <w:tc>
          <w:tcPr>
            <w:tcW w:w="460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2293" w:type="pct"/>
            <w:gridSpan w:val="2"/>
            <w:vAlign w:val="center"/>
          </w:tcPr>
          <w:p w:rsidR="00C3423D" w:rsidRDefault="00606F5F" w:rsidP="007165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sjp_hit@163.com</w:t>
            </w:r>
          </w:p>
        </w:tc>
      </w:tr>
      <w:tr w:rsidR="00C3423D" w:rsidTr="00A74A7E">
        <w:trPr>
          <w:trHeight w:val="960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3807" w:type="pct"/>
            <w:gridSpan w:val="4"/>
            <w:vAlign w:val="center"/>
          </w:tcPr>
          <w:p w:rsidR="008E428D" w:rsidRDefault="00D84F02" w:rsidP="0043208E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随着双碳目标的提出和推进，低碳化、绿色化已成为船舶技术发展的核心特征。</w:t>
            </w:r>
            <w:r w:rsidR="00D901C9" w:rsidRPr="002400F6">
              <w:rPr>
                <w:rFonts w:hAnsiTheme="minorEastAsia" w:hint="eastAsia"/>
                <w:iCs/>
                <w:sz w:val="24"/>
              </w:rPr>
              <w:t>同时，航运业减碳要求已成为船舶市场的重要考量因素，这迫使船舶行业开始寻求以氢、氨和甲醇为代表的绿色替代燃料。</w:t>
            </w:r>
            <w:r w:rsidR="00205AA4" w:rsidRPr="002400F6">
              <w:rPr>
                <w:rFonts w:hAnsiTheme="minorEastAsia" w:hint="eastAsia"/>
                <w:iCs/>
                <w:sz w:val="24"/>
              </w:rPr>
              <w:t>近年来，甲醇燃料正快速成为航运业主流的低排放或零排放燃料，具体表现为</w:t>
            </w:r>
            <w:r w:rsidR="00214096" w:rsidRPr="002400F6">
              <w:rPr>
                <w:rFonts w:hAnsiTheme="minorEastAsia" w:hint="eastAsia"/>
                <w:iCs/>
                <w:sz w:val="24"/>
              </w:rPr>
              <w:t>一部分</w:t>
            </w:r>
            <w:r w:rsidR="00205AA4" w:rsidRPr="002400F6">
              <w:rPr>
                <w:rFonts w:hAnsiTheme="minorEastAsia" w:hint="eastAsia"/>
                <w:iCs/>
                <w:sz w:val="24"/>
              </w:rPr>
              <w:t>新造船舶</w:t>
            </w:r>
            <w:r w:rsidR="00FC7DF1" w:rsidRPr="002400F6">
              <w:rPr>
                <w:rFonts w:hAnsiTheme="minorEastAsia" w:hint="eastAsia"/>
                <w:iCs/>
                <w:sz w:val="24"/>
              </w:rPr>
              <w:t>为甲醇双燃料船舶或预留甲醇燃料</w:t>
            </w:r>
            <w:r w:rsidR="007D59F7" w:rsidRPr="002400F6">
              <w:rPr>
                <w:rFonts w:hAnsiTheme="minorEastAsia" w:hint="eastAsia"/>
                <w:iCs/>
                <w:sz w:val="24"/>
              </w:rPr>
              <w:t>的燃油船舶。</w:t>
            </w:r>
            <w:r w:rsidR="004E1BA6" w:rsidRPr="002400F6">
              <w:rPr>
                <w:rFonts w:hAnsiTheme="minorEastAsia" w:hint="eastAsia"/>
                <w:iCs/>
                <w:sz w:val="24"/>
              </w:rPr>
              <w:t>而与甲醇双燃料船舶相配套的</w:t>
            </w:r>
            <w:r w:rsidR="00585C4C" w:rsidRPr="002400F6">
              <w:rPr>
                <w:rFonts w:hAnsiTheme="minorEastAsia" w:hint="eastAsia"/>
                <w:iCs/>
                <w:sz w:val="24"/>
              </w:rPr>
              <w:t>甲醇双燃料机电装备</w:t>
            </w:r>
            <w:r w:rsidR="004E1BA6" w:rsidRPr="002400F6">
              <w:rPr>
                <w:rFonts w:hAnsiTheme="minorEastAsia" w:hint="eastAsia"/>
                <w:iCs/>
                <w:sz w:val="24"/>
              </w:rPr>
              <w:t>，如甲醇双燃料主辅机、甲醇双燃料锅炉等已成为船舶机电装备</w:t>
            </w:r>
            <w:r w:rsidR="006C52B6" w:rsidRPr="002400F6">
              <w:rPr>
                <w:rFonts w:hAnsiTheme="minorEastAsia" w:hint="eastAsia"/>
                <w:iCs/>
                <w:sz w:val="24"/>
              </w:rPr>
              <w:t>的重要发展方向。</w:t>
            </w:r>
          </w:p>
          <w:p w:rsidR="00437EB9" w:rsidRPr="00A47AC4" w:rsidRDefault="00716923" w:rsidP="00A47AC4">
            <w:pPr>
              <w:spacing w:line="276" w:lineRule="auto"/>
              <w:ind w:firstLineChars="200" w:firstLine="480"/>
              <w:rPr>
                <w:rFonts w:hAnsiTheme="minorEastAsia" w:hint="eastAsia"/>
                <w:iCs/>
                <w:sz w:val="24"/>
              </w:rPr>
            </w:pPr>
            <w:r>
              <w:rPr>
                <w:rFonts w:hAnsiTheme="minorEastAsia"/>
                <w:iCs/>
                <w:sz w:val="24"/>
              </w:rPr>
              <w:t>国际上，瑞典阿法拉伐和</w:t>
            </w:r>
            <w:r w:rsidR="007A40D5">
              <w:rPr>
                <w:rFonts w:hAnsiTheme="minorEastAsia"/>
                <w:iCs/>
                <w:sz w:val="24"/>
              </w:rPr>
              <w:t>德国</w:t>
            </w:r>
            <w:r>
              <w:rPr>
                <w:rFonts w:hAnsiTheme="minorEastAsia"/>
                <w:iCs/>
                <w:sz w:val="24"/>
              </w:rPr>
              <w:t>扎克均</w:t>
            </w:r>
            <w:r w:rsidR="007A40D5">
              <w:rPr>
                <w:rFonts w:hAnsiTheme="minorEastAsia"/>
                <w:iCs/>
                <w:sz w:val="24"/>
              </w:rPr>
              <w:t>已</w:t>
            </w:r>
            <w:r w:rsidR="007C3F6A">
              <w:rPr>
                <w:rFonts w:hAnsiTheme="minorEastAsia"/>
                <w:iCs/>
                <w:sz w:val="24"/>
              </w:rPr>
              <w:t>成功研发</w:t>
            </w:r>
            <w:r w:rsidR="007A40D5">
              <w:rPr>
                <w:rFonts w:hAnsiTheme="minorEastAsia"/>
                <w:iCs/>
                <w:sz w:val="24"/>
              </w:rPr>
              <w:t>船用甲醇双燃料辅锅炉</w:t>
            </w:r>
            <w:r w:rsidR="007C3F6A">
              <w:rPr>
                <w:rFonts w:hAnsiTheme="minorEastAsia"/>
                <w:iCs/>
                <w:sz w:val="24"/>
              </w:rPr>
              <w:t>。而我国船用辅锅炉发展起步较晚</w:t>
            </w:r>
            <w:r w:rsidR="00CB4D7A">
              <w:rPr>
                <w:rFonts w:hAnsiTheme="minorEastAsia"/>
                <w:iCs/>
                <w:sz w:val="24"/>
              </w:rPr>
              <w:t>、研制能力弱，与世界先进水平存在差距</w:t>
            </w:r>
            <w:r w:rsidR="00597393">
              <w:rPr>
                <w:rFonts w:hAnsiTheme="minorEastAsia"/>
                <w:iCs/>
                <w:sz w:val="24"/>
              </w:rPr>
              <w:t>，除本公司研发的5t/h针形管甲醇船用辅锅炉外，国内尚无相关产品</w:t>
            </w:r>
            <w:r w:rsidR="00B650BB">
              <w:rPr>
                <w:rFonts w:hAnsiTheme="minorEastAsia"/>
                <w:iCs/>
                <w:sz w:val="24"/>
              </w:rPr>
              <w:t>。</w:t>
            </w:r>
            <w:r w:rsidR="00B9545E">
              <w:rPr>
                <w:rFonts w:hAnsiTheme="minorEastAsia"/>
                <w:iCs/>
                <w:sz w:val="24"/>
              </w:rPr>
              <w:t>因此，</w:t>
            </w:r>
            <w:r w:rsidR="007B6215">
              <w:rPr>
                <w:rFonts w:hAnsiTheme="minorEastAsia"/>
                <w:iCs/>
                <w:sz w:val="24"/>
              </w:rPr>
              <w:t>为了</w:t>
            </w:r>
            <w:r w:rsidR="00B9545E">
              <w:rPr>
                <w:rFonts w:hAnsiTheme="minorEastAsia"/>
                <w:iCs/>
                <w:sz w:val="24"/>
              </w:rPr>
              <w:t>抢占高技术低碳</w:t>
            </w:r>
            <w:r w:rsidR="007B6215">
              <w:rPr>
                <w:rFonts w:hAnsiTheme="minorEastAsia"/>
                <w:iCs/>
                <w:sz w:val="24"/>
              </w:rPr>
              <w:t>船舶机电装备技术高地和国际市场，提升甲醇燃料船舶配套设备国产化率</w:t>
            </w:r>
            <w:r w:rsidR="001E485D">
              <w:rPr>
                <w:rFonts w:hAnsiTheme="minorEastAsia"/>
                <w:iCs/>
                <w:sz w:val="24"/>
              </w:rPr>
              <w:t>和降低船舶设备采购成本，亟需加强顶层设计、聚力攻关</w:t>
            </w:r>
            <w:r w:rsidR="00A47AC4">
              <w:rPr>
                <w:rFonts w:hAnsiTheme="minorEastAsia"/>
                <w:iCs/>
                <w:sz w:val="24"/>
              </w:rPr>
              <w:t>，建立相应标准，推动船用甲醇双燃料锅炉的快速发展。</w:t>
            </w:r>
          </w:p>
        </w:tc>
      </w:tr>
      <w:tr w:rsidR="00C3423D" w:rsidTr="00A74A7E">
        <w:trPr>
          <w:trHeight w:val="673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标准必要性和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3807" w:type="pct"/>
            <w:gridSpan w:val="4"/>
            <w:vAlign w:val="center"/>
          </w:tcPr>
          <w:p w:rsidR="00EF083F" w:rsidRDefault="009232B7" w:rsidP="0043208E">
            <w:pPr>
              <w:spacing w:line="276" w:lineRule="auto"/>
              <w:ind w:firstLineChars="200" w:firstLine="480"/>
              <w:rPr>
                <w:rFonts w:hAnsiTheme="minorEastAsia"/>
                <w:sz w:val="24"/>
              </w:rPr>
            </w:pPr>
            <w:r w:rsidRPr="002400F6">
              <w:rPr>
                <w:rFonts w:hAnsiTheme="minorEastAsia" w:hint="eastAsia"/>
                <w:sz w:val="24"/>
              </w:rPr>
              <w:t>船用甲醇双燃料辅锅炉</w:t>
            </w:r>
            <w:r w:rsidR="00F72412" w:rsidRPr="002400F6">
              <w:rPr>
                <w:rFonts w:hAnsiTheme="minorEastAsia" w:hint="eastAsia"/>
                <w:sz w:val="24"/>
              </w:rPr>
              <w:t>是</w:t>
            </w:r>
            <w:r w:rsidRPr="002400F6">
              <w:rPr>
                <w:rFonts w:hAnsiTheme="minorEastAsia" w:hint="eastAsia"/>
                <w:sz w:val="24"/>
              </w:rPr>
              <w:t>甲醇双燃料船舶的必备机电装备，</w:t>
            </w:r>
            <w:r w:rsidR="00EC1BDD">
              <w:rPr>
                <w:rFonts w:hAnsiTheme="minorEastAsia" w:hint="eastAsia"/>
                <w:sz w:val="24"/>
              </w:rPr>
              <w:t>目前</w:t>
            </w:r>
            <w:r w:rsidR="008E2D87">
              <w:rPr>
                <w:rFonts w:hAnsiTheme="minorEastAsia" w:hint="eastAsia"/>
                <w:sz w:val="24"/>
              </w:rPr>
              <w:t>国内</w:t>
            </w:r>
            <w:r w:rsidRPr="002400F6">
              <w:rPr>
                <w:rFonts w:hAnsiTheme="minorEastAsia" w:hint="eastAsia"/>
                <w:sz w:val="24"/>
              </w:rPr>
              <w:t>相关标准尚不完备，有必要提出船用甲醇双燃料辅锅炉的技术条件，以推进甲醇燃料在船舶行业的加速应用。</w:t>
            </w:r>
          </w:p>
          <w:p w:rsidR="008E428D" w:rsidRPr="002400F6" w:rsidRDefault="00696EA8" w:rsidP="0043208E">
            <w:pPr>
              <w:spacing w:line="276" w:lineRule="auto"/>
              <w:ind w:firstLineChars="200" w:firstLine="480"/>
              <w:rPr>
                <w:rFonts w:hAnsiTheme="minorEastAsia"/>
                <w:sz w:val="24"/>
                <w:highlight w:val="yellow"/>
              </w:rPr>
            </w:pPr>
            <w:r w:rsidRPr="002400F6">
              <w:rPr>
                <w:rFonts w:hAnsiTheme="minorEastAsia" w:hint="eastAsia"/>
                <w:sz w:val="24"/>
              </w:rPr>
              <w:t>本</w:t>
            </w:r>
            <w:r w:rsidR="00A31C62">
              <w:rPr>
                <w:rFonts w:hAnsiTheme="minorEastAsia" w:hint="eastAsia"/>
                <w:sz w:val="24"/>
              </w:rPr>
              <w:t>文件</w:t>
            </w:r>
            <w:r w:rsidRPr="002400F6">
              <w:rPr>
                <w:rFonts w:hAnsiTheme="minorEastAsia" w:hint="eastAsia"/>
                <w:sz w:val="24"/>
              </w:rPr>
              <w:t>为工信部项目《船用甲醇燃料锅炉研制》的成果转化，旨在为船用燃油/甲醇双燃料辅锅炉在设计、制造以</w:t>
            </w:r>
            <w:r w:rsidRPr="002400F6">
              <w:rPr>
                <w:rFonts w:hAnsiTheme="minorEastAsia" w:hint="eastAsia"/>
                <w:sz w:val="24"/>
              </w:rPr>
              <w:lastRenderedPageBreak/>
              <w:t>及安装运行时提供</w:t>
            </w:r>
            <w:r w:rsidR="004B4649">
              <w:rPr>
                <w:rFonts w:hAnsiTheme="minorEastAsia" w:hint="eastAsia"/>
                <w:sz w:val="24"/>
              </w:rPr>
              <w:t>技术要求</w:t>
            </w:r>
            <w:r w:rsidRPr="002400F6">
              <w:rPr>
                <w:rFonts w:hAnsiTheme="minorEastAsia" w:hint="eastAsia"/>
                <w:sz w:val="24"/>
              </w:rPr>
              <w:t>，</w:t>
            </w:r>
            <w:r w:rsidR="009232B7" w:rsidRPr="002400F6">
              <w:rPr>
                <w:rFonts w:hAnsiTheme="minorEastAsia" w:hint="eastAsia"/>
                <w:sz w:val="24"/>
              </w:rPr>
              <w:t>具备可行性</w:t>
            </w:r>
            <w:r w:rsidRPr="002400F6">
              <w:rPr>
                <w:rFonts w:hAnsiTheme="minorEastAsia" w:hint="eastAsia"/>
                <w:sz w:val="24"/>
              </w:rPr>
              <w:t>。</w:t>
            </w:r>
          </w:p>
        </w:tc>
      </w:tr>
      <w:tr w:rsidR="00C3423D" w:rsidTr="00A74A7E">
        <w:trPr>
          <w:trHeight w:val="702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国内外情况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3807" w:type="pct"/>
            <w:gridSpan w:val="4"/>
            <w:vAlign w:val="center"/>
          </w:tcPr>
          <w:p w:rsidR="006031F2" w:rsidRDefault="006031F2" w:rsidP="0043208E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>
              <w:rPr>
                <w:rFonts w:hAnsiTheme="minorEastAsia"/>
                <w:iCs/>
                <w:sz w:val="24"/>
              </w:rPr>
              <w:t>国际上，</w:t>
            </w:r>
            <w:r>
              <w:rPr>
                <w:rFonts w:hAnsiTheme="minorEastAsia" w:hint="eastAsia"/>
                <w:iCs/>
                <w:sz w:val="24"/>
              </w:rPr>
              <w:t>I</w:t>
            </w:r>
            <w:r>
              <w:rPr>
                <w:rFonts w:hAnsiTheme="minorEastAsia"/>
                <w:iCs/>
                <w:sz w:val="24"/>
              </w:rPr>
              <w:t>MO发布了</w:t>
            </w:r>
            <w:r w:rsidRPr="006031F2">
              <w:rPr>
                <w:rFonts w:hAnsiTheme="minorEastAsia" w:hint="eastAsia"/>
                <w:iCs/>
                <w:sz w:val="24"/>
              </w:rPr>
              <w:t>《使用甲醇乙醇作为燃料的船舶安全暂行指南》</w:t>
            </w:r>
            <w:r w:rsidR="00D4084C">
              <w:rPr>
                <w:rFonts w:hAnsiTheme="minorEastAsia" w:hint="eastAsia"/>
                <w:iCs/>
                <w:sz w:val="24"/>
              </w:rPr>
              <w:t>，</w:t>
            </w:r>
            <w:r w:rsidR="007D3FFB">
              <w:rPr>
                <w:rFonts w:hAnsiTheme="minorEastAsia" w:hint="eastAsia"/>
                <w:iCs/>
                <w:sz w:val="24"/>
              </w:rPr>
              <w:t>其中对船用甲醇/乙醇锅炉虽有提及，但</w:t>
            </w:r>
            <w:r w:rsidR="002A3DCC">
              <w:rPr>
                <w:rFonts w:hAnsiTheme="minorEastAsia" w:hint="eastAsia"/>
                <w:iCs/>
                <w:sz w:val="24"/>
              </w:rPr>
              <w:t>基本为基础性</w:t>
            </w:r>
            <w:r w:rsidR="002416D4">
              <w:rPr>
                <w:rFonts w:hAnsiTheme="minorEastAsia" w:hint="eastAsia"/>
                <w:iCs/>
                <w:sz w:val="24"/>
              </w:rPr>
              <w:t>、</w:t>
            </w:r>
            <w:r w:rsidR="007D3FFB">
              <w:rPr>
                <w:rFonts w:hAnsiTheme="minorEastAsia" w:hint="eastAsia"/>
                <w:iCs/>
                <w:sz w:val="24"/>
              </w:rPr>
              <w:t>指导性条款</w:t>
            </w:r>
            <w:r w:rsidR="00AF41A4">
              <w:rPr>
                <w:rFonts w:hAnsiTheme="minorEastAsia" w:hint="eastAsia"/>
                <w:iCs/>
                <w:sz w:val="24"/>
              </w:rPr>
              <w:t>，并无具体规定。</w:t>
            </w:r>
            <w:r>
              <w:rPr>
                <w:rFonts w:hAnsiTheme="minorEastAsia"/>
                <w:iCs/>
                <w:sz w:val="24"/>
              </w:rPr>
              <w:t>法国</w:t>
            </w:r>
            <w:r>
              <w:rPr>
                <w:rFonts w:hAnsiTheme="minorEastAsia" w:hint="eastAsia"/>
                <w:iCs/>
                <w:sz w:val="24"/>
              </w:rPr>
              <w:t>B</w:t>
            </w:r>
            <w:r>
              <w:rPr>
                <w:rFonts w:hAnsiTheme="minorEastAsia"/>
                <w:iCs/>
                <w:sz w:val="24"/>
              </w:rPr>
              <w:t>V船级社发布</w:t>
            </w:r>
            <w:r w:rsidR="00DB0869">
              <w:rPr>
                <w:rFonts w:hAnsiTheme="minorEastAsia"/>
                <w:iCs/>
                <w:sz w:val="24"/>
              </w:rPr>
              <w:t>了</w:t>
            </w:r>
            <w:r w:rsidR="008E2D87">
              <w:rPr>
                <w:rFonts w:hAnsiTheme="minorEastAsia" w:hint="eastAsia"/>
                <w:iCs/>
                <w:sz w:val="24"/>
              </w:rPr>
              <w:t>N</w:t>
            </w:r>
            <w:r w:rsidR="008E2D87">
              <w:rPr>
                <w:rFonts w:hAnsiTheme="minorEastAsia"/>
                <w:iCs/>
                <w:sz w:val="24"/>
              </w:rPr>
              <w:t xml:space="preserve">R670-2024 </w:t>
            </w:r>
            <w:r w:rsidRPr="006031F2">
              <w:rPr>
                <w:rFonts w:hAnsiTheme="minorEastAsia"/>
                <w:iCs/>
                <w:sz w:val="24"/>
              </w:rPr>
              <w:t>Rules for Methanol-Fueled Ships</w:t>
            </w:r>
            <w:r w:rsidR="007A1EFB">
              <w:rPr>
                <w:rFonts w:hAnsiTheme="minorEastAsia"/>
                <w:iCs/>
                <w:sz w:val="24"/>
              </w:rPr>
              <w:t>，其中对甲醇</w:t>
            </w:r>
            <w:r w:rsidR="007A1EFB">
              <w:rPr>
                <w:rFonts w:hAnsiTheme="minorEastAsia" w:hint="eastAsia"/>
                <w:iCs/>
                <w:sz w:val="24"/>
              </w:rPr>
              <w:t>/乙醇船用锅炉燃料系统的安全性提出了具体要求。</w:t>
            </w:r>
          </w:p>
          <w:p w:rsidR="00D351D3" w:rsidRDefault="00D4084C" w:rsidP="0043208E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>
              <w:rPr>
                <w:rFonts w:hAnsiTheme="minorEastAsia"/>
                <w:iCs/>
                <w:sz w:val="24"/>
              </w:rPr>
              <w:t>而国内</w:t>
            </w:r>
            <w:r w:rsidR="000A464E" w:rsidRPr="000A464E">
              <w:rPr>
                <w:rFonts w:hAnsiTheme="minorEastAsia"/>
                <w:iCs/>
                <w:sz w:val="24"/>
              </w:rPr>
              <w:t>关于船用甲醇双燃料辅锅炉方面的标准处于起步阶段</w:t>
            </w:r>
            <w:r w:rsidR="000A464E" w:rsidRPr="000A464E">
              <w:rPr>
                <w:rFonts w:hAnsiTheme="minorEastAsia" w:hint="eastAsia"/>
                <w:iCs/>
                <w:sz w:val="24"/>
              </w:rPr>
              <w:t>。</w:t>
            </w:r>
            <w:r w:rsidR="002619D9" w:rsidRPr="000A464E">
              <w:rPr>
                <w:rFonts w:hAnsiTheme="minorEastAsia" w:hint="eastAsia"/>
                <w:iCs/>
                <w:sz w:val="24"/>
              </w:rPr>
              <w:t>在</w:t>
            </w:r>
            <w:r w:rsidR="002619D9" w:rsidRPr="002400F6">
              <w:rPr>
                <w:rFonts w:hAnsiTheme="minorEastAsia" w:hint="eastAsia"/>
                <w:iCs/>
                <w:sz w:val="24"/>
              </w:rPr>
              <w:t>燃油船用辅锅炉方面，国内已建立起完备的国家标准和船舶行业标准</w:t>
            </w:r>
            <w:r w:rsidR="006F5FB2">
              <w:rPr>
                <w:rFonts w:hAnsiTheme="minorEastAsia" w:hint="eastAsia"/>
                <w:iCs/>
                <w:sz w:val="24"/>
              </w:rPr>
              <w:t>；</w:t>
            </w:r>
            <w:bookmarkStart w:id="0" w:name="_GoBack"/>
            <w:bookmarkEnd w:id="0"/>
            <w:r w:rsidR="002619D9" w:rsidRPr="002400F6">
              <w:rPr>
                <w:rFonts w:hAnsiTheme="minorEastAsia" w:hint="eastAsia"/>
                <w:iCs/>
                <w:sz w:val="24"/>
              </w:rPr>
              <w:t>在船用甲醇燃料方面，中国船级社在I</w:t>
            </w:r>
            <w:r w:rsidR="002619D9" w:rsidRPr="002400F6">
              <w:rPr>
                <w:rFonts w:hAnsiTheme="minorEastAsia"/>
                <w:iCs/>
                <w:sz w:val="24"/>
              </w:rPr>
              <w:t>MO提出的《使用甲醇乙醇作为燃料的船舶安全暂行指南》基础上，发布了《船舶应用甲醇</w:t>
            </w:r>
            <w:r w:rsidR="002619D9" w:rsidRPr="002400F6">
              <w:rPr>
                <w:rFonts w:hAnsiTheme="minorEastAsia" w:hint="eastAsia"/>
                <w:iCs/>
                <w:sz w:val="24"/>
              </w:rPr>
              <w:t>/乙醇燃料指南</w:t>
            </w:r>
            <w:r w:rsidR="002619D9" w:rsidRPr="002400F6">
              <w:rPr>
                <w:rFonts w:hAnsiTheme="minorEastAsia"/>
                <w:iCs/>
                <w:sz w:val="24"/>
              </w:rPr>
              <w:t>》</w:t>
            </w:r>
            <w:r w:rsidR="002619D9" w:rsidRPr="002400F6">
              <w:rPr>
                <w:rFonts w:hAnsiTheme="minorEastAsia" w:hint="eastAsia"/>
                <w:iCs/>
                <w:sz w:val="24"/>
              </w:rPr>
              <w:t>2</w:t>
            </w:r>
            <w:r w:rsidR="002619D9" w:rsidRPr="002400F6">
              <w:rPr>
                <w:rFonts w:hAnsiTheme="minorEastAsia"/>
                <w:iCs/>
                <w:sz w:val="24"/>
              </w:rPr>
              <w:t>022，为甲醇在船舶领域的应用提供指导性意见。</w:t>
            </w:r>
          </w:p>
          <w:p w:rsidR="00FA0113" w:rsidRPr="007073F8" w:rsidRDefault="002619D9" w:rsidP="008D72A8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  <w:highlight w:val="yellow"/>
              </w:rPr>
            </w:pPr>
            <w:r w:rsidRPr="002400F6">
              <w:rPr>
                <w:rFonts w:hAnsiTheme="minorEastAsia"/>
                <w:iCs/>
                <w:sz w:val="24"/>
              </w:rPr>
              <w:t>本技术条件以国内现有燃油船用辅锅炉相关标准为基础，整合船用辅锅炉和船用甲醇燃料的相关条款，并对船用甲醇双燃料锅炉中的甲醇系统提出相关要求，形成船用甲醇双燃料辅锅炉技术条件</w:t>
            </w:r>
            <w:r w:rsidR="004506F9">
              <w:rPr>
                <w:rFonts w:hAnsiTheme="minorEastAsia" w:hint="eastAsia"/>
                <w:iCs/>
                <w:sz w:val="24"/>
              </w:rPr>
              <w:t>,</w:t>
            </w:r>
            <w:r w:rsidR="004506F9" w:rsidRPr="004506F9">
              <w:rPr>
                <w:rFonts w:hAnsiTheme="minorEastAsia" w:hint="eastAsia"/>
                <w:iCs/>
                <w:sz w:val="24"/>
              </w:rPr>
              <w:t>制定本产品标准，可以填补</w:t>
            </w:r>
            <w:r w:rsidR="00D351D3">
              <w:rPr>
                <w:rFonts w:hAnsiTheme="minorEastAsia" w:hint="eastAsia"/>
                <w:iCs/>
                <w:sz w:val="24"/>
              </w:rPr>
              <w:t>国内</w:t>
            </w:r>
            <w:r w:rsidR="004506F9">
              <w:rPr>
                <w:rFonts w:hAnsiTheme="minorEastAsia" w:hint="eastAsia"/>
                <w:iCs/>
                <w:sz w:val="24"/>
              </w:rPr>
              <w:t>该领域</w:t>
            </w:r>
            <w:r w:rsidR="004506F9" w:rsidRPr="004506F9">
              <w:rPr>
                <w:rFonts w:hAnsiTheme="minorEastAsia" w:hint="eastAsia"/>
                <w:iCs/>
                <w:sz w:val="24"/>
              </w:rPr>
              <w:t>标准空白</w:t>
            </w:r>
            <w:r w:rsidRPr="002400F6">
              <w:rPr>
                <w:rFonts w:hAnsiTheme="minorEastAsia"/>
                <w:iCs/>
                <w:sz w:val="24"/>
              </w:rPr>
              <w:t>。</w:t>
            </w:r>
          </w:p>
        </w:tc>
      </w:tr>
      <w:tr w:rsidR="00C3423D" w:rsidTr="00A74A7E">
        <w:trPr>
          <w:trHeight w:val="1017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3807" w:type="pct"/>
            <w:gridSpan w:val="4"/>
            <w:vAlign w:val="center"/>
          </w:tcPr>
          <w:p w:rsidR="00A81713" w:rsidRPr="002400F6" w:rsidRDefault="00E127F2" w:rsidP="00896FB4">
            <w:pPr>
              <w:spacing w:line="276" w:lineRule="auto"/>
              <w:rPr>
                <w:rFonts w:hAnsiTheme="minorEastAsia"/>
                <w:sz w:val="24"/>
              </w:rPr>
            </w:pPr>
            <w:r w:rsidRPr="002400F6">
              <w:rPr>
                <w:rFonts w:hAnsiTheme="minorEastAsia"/>
                <w:sz w:val="24"/>
              </w:rPr>
              <w:t>适用范围：</w:t>
            </w:r>
          </w:p>
          <w:p w:rsidR="00C3423D" w:rsidRPr="002400F6" w:rsidRDefault="00E127F2" w:rsidP="00896FB4">
            <w:pPr>
              <w:spacing w:line="276" w:lineRule="auto"/>
              <w:ind w:firstLineChars="200" w:firstLine="480"/>
              <w:rPr>
                <w:rFonts w:hAnsiTheme="minorEastAsia"/>
                <w:sz w:val="24"/>
              </w:rPr>
            </w:pPr>
            <w:r w:rsidRPr="002400F6">
              <w:rPr>
                <w:rFonts w:hAnsiTheme="minorEastAsia" w:hint="eastAsia"/>
                <w:sz w:val="24"/>
              </w:rPr>
              <w:t>本文件适用于设计压力不大于2.5MPa，介质为水和饱和蒸汽，以甲醇和燃油为燃料的船用辅锅炉的设计、制造和验收。</w:t>
            </w:r>
          </w:p>
          <w:p w:rsidR="004B2227" w:rsidRPr="002400F6" w:rsidRDefault="009A4D81" w:rsidP="00896FB4">
            <w:pPr>
              <w:spacing w:line="276" w:lineRule="auto"/>
              <w:rPr>
                <w:rFonts w:hAnsiTheme="minorEastAsia"/>
                <w:sz w:val="24"/>
              </w:rPr>
            </w:pPr>
            <w:r w:rsidRPr="002400F6">
              <w:rPr>
                <w:rFonts w:hAnsiTheme="minorEastAsia" w:hint="eastAsia"/>
                <w:sz w:val="24"/>
              </w:rPr>
              <w:t>主要内容：</w:t>
            </w:r>
          </w:p>
          <w:p w:rsidR="00C3423D" w:rsidRPr="002400F6" w:rsidRDefault="009A4D81" w:rsidP="004B2227">
            <w:pPr>
              <w:spacing w:line="276" w:lineRule="auto"/>
              <w:ind w:firstLineChars="200" w:firstLine="480"/>
              <w:rPr>
                <w:rFonts w:hAnsiTheme="minorEastAsia"/>
                <w:sz w:val="24"/>
              </w:rPr>
            </w:pPr>
            <w:r w:rsidRPr="002400F6">
              <w:rPr>
                <w:rFonts w:hAnsiTheme="minorEastAsia" w:hint="eastAsia"/>
                <w:sz w:val="24"/>
              </w:rPr>
              <w:t>本文件规定了船用甲醇双燃料辅锅炉的要求、试验方法、检验规则以及标志、包装和贮存。</w:t>
            </w:r>
          </w:p>
        </w:tc>
      </w:tr>
      <w:tr w:rsidR="00C3423D" w:rsidTr="00A74A7E">
        <w:trPr>
          <w:trHeight w:val="955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工作进度安排</w:t>
            </w:r>
          </w:p>
        </w:tc>
        <w:tc>
          <w:tcPr>
            <w:tcW w:w="3807" w:type="pct"/>
            <w:gridSpan w:val="4"/>
            <w:vAlign w:val="center"/>
          </w:tcPr>
          <w:p w:rsidR="009D57ED" w:rsidRPr="002400F6" w:rsidRDefault="009D57ED" w:rsidP="00896FB4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草案提交：2025年</w:t>
            </w:r>
            <w:r w:rsidRPr="002400F6">
              <w:rPr>
                <w:rFonts w:hAnsiTheme="minorEastAsia"/>
                <w:iCs/>
                <w:sz w:val="24"/>
              </w:rPr>
              <w:t>5</w:t>
            </w:r>
            <w:r w:rsidRPr="002400F6">
              <w:rPr>
                <w:rFonts w:hAnsiTheme="minorEastAsia" w:hint="eastAsia"/>
                <w:iCs/>
                <w:sz w:val="24"/>
              </w:rPr>
              <w:t>月</w:t>
            </w:r>
            <w:r w:rsidR="0098087C">
              <w:rPr>
                <w:rFonts w:hAnsiTheme="minorEastAsia" w:hint="eastAsia"/>
                <w:iCs/>
                <w:sz w:val="24"/>
              </w:rPr>
              <w:t>；</w:t>
            </w:r>
          </w:p>
          <w:p w:rsidR="009D57ED" w:rsidRPr="002400F6" w:rsidRDefault="009D57ED" w:rsidP="00896FB4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预期立项：2025年4月</w:t>
            </w:r>
            <w:r w:rsidR="0098087C">
              <w:rPr>
                <w:rFonts w:hAnsiTheme="minorEastAsia" w:hint="eastAsia"/>
                <w:iCs/>
                <w:sz w:val="24"/>
              </w:rPr>
              <w:t>；</w:t>
            </w:r>
          </w:p>
          <w:p w:rsidR="008E428D" w:rsidRPr="002400F6" w:rsidRDefault="009D57ED" w:rsidP="0043208E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预期发布：2025年1</w:t>
            </w:r>
            <w:r w:rsidR="00A16B9E">
              <w:rPr>
                <w:rFonts w:hAnsiTheme="minorEastAsia"/>
                <w:iCs/>
                <w:sz w:val="24"/>
              </w:rPr>
              <w:t>0</w:t>
            </w:r>
            <w:r w:rsidRPr="002400F6">
              <w:rPr>
                <w:rFonts w:hAnsiTheme="minorEastAsia" w:hint="eastAsia"/>
                <w:iCs/>
                <w:sz w:val="24"/>
              </w:rPr>
              <w:t>月</w:t>
            </w:r>
            <w:r w:rsidR="0098087C">
              <w:rPr>
                <w:rFonts w:hAnsiTheme="minorEastAsia" w:hint="eastAsia"/>
                <w:iCs/>
                <w:sz w:val="24"/>
              </w:rPr>
              <w:t>。</w:t>
            </w:r>
          </w:p>
        </w:tc>
      </w:tr>
      <w:tr w:rsidR="00C3423D" w:rsidTr="00A74A7E">
        <w:trPr>
          <w:trHeight w:val="1035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:rsidR="00C3423D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3807" w:type="pct"/>
            <w:gridSpan w:val="4"/>
            <w:vAlign w:val="center"/>
          </w:tcPr>
          <w:p w:rsidR="00C3423D" w:rsidRPr="002400F6" w:rsidRDefault="00E76FCE" w:rsidP="00044263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/>
                <w:iCs/>
                <w:sz w:val="24"/>
              </w:rPr>
              <w:t>宣讲与解读：通过官网、行业会议</w:t>
            </w:r>
            <w:r w:rsidR="002336F8" w:rsidRPr="002400F6">
              <w:rPr>
                <w:rFonts w:hAnsiTheme="minorEastAsia"/>
                <w:iCs/>
                <w:sz w:val="24"/>
              </w:rPr>
              <w:t>、媒体等渠道</w:t>
            </w:r>
            <w:r w:rsidR="005B3837" w:rsidRPr="002400F6">
              <w:rPr>
                <w:rFonts w:hAnsiTheme="minorEastAsia"/>
                <w:iCs/>
                <w:sz w:val="24"/>
              </w:rPr>
              <w:t>正式发布标准文本及配套解读文件；</w:t>
            </w:r>
          </w:p>
          <w:p w:rsidR="005B3837" w:rsidRPr="002400F6" w:rsidRDefault="00096B2A" w:rsidP="00044263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/>
                <w:iCs/>
                <w:sz w:val="24"/>
              </w:rPr>
              <w:t>制定实施细则：将标准转化为设计、生产等部门的操作手册</w:t>
            </w:r>
            <w:r w:rsidR="0035140D" w:rsidRPr="002400F6">
              <w:rPr>
                <w:rFonts w:hAnsiTheme="minorEastAsia"/>
                <w:iCs/>
                <w:sz w:val="24"/>
              </w:rPr>
              <w:t>，明确</w:t>
            </w:r>
            <w:r w:rsidR="002F280E" w:rsidRPr="002400F6">
              <w:rPr>
                <w:rFonts w:hAnsiTheme="minorEastAsia"/>
                <w:iCs/>
                <w:sz w:val="24"/>
              </w:rPr>
              <w:t>标准实施过渡期；</w:t>
            </w:r>
          </w:p>
          <w:p w:rsidR="008E428D" w:rsidRPr="002400F6" w:rsidRDefault="00B609D1" w:rsidP="00ED7372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/>
                <w:iCs/>
                <w:sz w:val="24"/>
              </w:rPr>
              <w:t>试点验证与反馈：试点生产甲醇双燃料锅炉，</w:t>
            </w:r>
            <w:r w:rsidR="00AA461E" w:rsidRPr="002400F6">
              <w:rPr>
                <w:rFonts w:hAnsiTheme="minorEastAsia"/>
                <w:iCs/>
                <w:sz w:val="24"/>
              </w:rPr>
              <w:t>搜集</w:t>
            </w:r>
            <w:r w:rsidRPr="002400F6">
              <w:rPr>
                <w:rFonts w:hAnsiTheme="minorEastAsia"/>
                <w:iCs/>
                <w:sz w:val="24"/>
              </w:rPr>
              <w:t>设计、制造过程中</w:t>
            </w:r>
            <w:r w:rsidR="00AA461E" w:rsidRPr="002400F6">
              <w:rPr>
                <w:rFonts w:hAnsiTheme="minorEastAsia"/>
                <w:iCs/>
                <w:sz w:val="24"/>
              </w:rPr>
              <w:t>的核心数据，建立反馈机制，验证并修订标准</w:t>
            </w:r>
            <w:r w:rsidR="00BB593E">
              <w:rPr>
                <w:rFonts w:hAnsiTheme="minorEastAsia" w:hint="eastAsia"/>
                <w:iCs/>
                <w:sz w:val="24"/>
              </w:rPr>
              <w:t>。</w:t>
            </w:r>
          </w:p>
        </w:tc>
      </w:tr>
      <w:tr w:rsidR="00C3423D" w:rsidTr="00A74A7E">
        <w:trPr>
          <w:trHeight w:val="512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3807" w:type="pct"/>
            <w:gridSpan w:val="4"/>
            <w:vAlign w:val="center"/>
          </w:tcPr>
          <w:p w:rsidR="008E428D" w:rsidRPr="002400F6" w:rsidRDefault="009D57ED" w:rsidP="0043208E">
            <w:pPr>
              <w:spacing w:line="276" w:lineRule="auto"/>
              <w:ind w:firstLineChars="200" w:firstLine="480"/>
              <w:rPr>
                <w:rFonts w:hAnsiTheme="minor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提供团体标准编制所需的经费。（含学会标准管理费用、标准编制过程中因技术交流、调研等发生的差旅费、会</w:t>
            </w:r>
            <w:r w:rsidRPr="002400F6">
              <w:rPr>
                <w:rFonts w:hAnsiTheme="minorEastAsia" w:hint="eastAsia"/>
                <w:iCs/>
                <w:sz w:val="24"/>
              </w:rPr>
              <w:lastRenderedPageBreak/>
              <w:t>议费、审查费、专家咨询费等）。</w:t>
            </w:r>
          </w:p>
        </w:tc>
      </w:tr>
      <w:tr w:rsidR="00C3423D" w:rsidTr="00A74A7E">
        <w:trPr>
          <w:trHeight w:val="1134"/>
          <w:jc w:val="center"/>
        </w:trPr>
        <w:tc>
          <w:tcPr>
            <w:tcW w:w="1193" w:type="pct"/>
            <w:vAlign w:val="center"/>
          </w:tcPr>
          <w:p w:rsidR="00C3423D" w:rsidRPr="00E41420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E41420">
              <w:rPr>
                <w:rFonts w:ascii="宋体" w:hAnsi="宋体" w:hint="eastAsia"/>
                <w:sz w:val="24"/>
              </w:rPr>
              <w:lastRenderedPageBreak/>
              <w:t>技术基础及</w:t>
            </w:r>
          </w:p>
          <w:p w:rsidR="00C3423D" w:rsidRPr="00E41420" w:rsidRDefault="00C3423D" w:rsidP="0071653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E41420"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3807" w:type="pct"/>
            <w:gridSpan w:val="4"/>
            <w:vAlign w:val="center"/>
          </w:tcPr>
          <w:p w:rsidR="00952FED" w:rsidRPr="00952FED" w:rsidRDefault="00FF60BD" w:rsidP="0043208E">
            <w:pPr>
              <w:spacing w:line="276" w:lineRule="auto"/>
              <w:ind w:firstLineChars="200" w:firstLine="480"/>
              <w:rPr>
                <w:rFonts w:hAnsiTheme="minorEastAsia" w:hint="eastAsia"/>
                <w:iCs/>
                <w:sz w:val="24"/>
              </w:rPr>
            </w:pPr>
            <w:r>
              <w:rPr>
                <w:rFonts w:hAnsiTheme="minorEastAsia"/>
                <w:iCs/>
                <w:sz w:val="24"/>
              </w:rPr>
              <w:t>本</w:t>
            </w:r>
            <w:r w:rsidR="006D5AA8">
              <w:rPr>
                <w:rFonts w:hAnsiTheme="minorEastAsia"/>
                <w:iCs/>
                <w:sz w:val="24"/>
              </w:rPr>
              <w:t>研发团队</w:t>
            </w:r>
            <w:r>
              <w:rPr>
                <w:rFonts w:hAnsiTheme="minorEastAsia"/>
                <w:iCs/>
                <w:sz w:val="24"/>
              </w:rPr>
              <w:t>现有</w:t>
            </w:r>
            <w:r w:rsidR="00A23936">
              <w:rPr>
                <w:rFonts w:hAnsiTheme="minorEastAsia"/>
                <w:iCs/>
                <w:sz w:val="24"/>
              </w:rPr>
              <w:t>成员</w:t>
            </w:r>
            <w:r w:rsidR="00A23936">
              <w:rPr>
                <w:rFonts w:hAnsiTheme="minorEastAsia" w:hint="eastAsia"/>
                <w:iCs/>
                <w:sz w:val="24"/>
              </w:rPr>
              <w:t>4</w:t>
            </w:r>
            <w:r w:rsidR="00A23936">
              <w:rPr>
                <w:rFonts w:hAnsiTheme="minorEastAsia"/>
                <w:iCs/>
                <w:sz w:val="24"/>
              </w:rPr>
              <w:t>0余人，</w:t>
            </w:r>
            <w:r w:rsidR="00A15AAE">
              <w:rPr>
                <w:rFonts w:hAnsiTheme="minorEastAsia"/>
                <w:iCs/>
                <w:sz w:val="24"/>
              </w:rPr>
              <w:t>均为长期从事船用辅锅炉研发、设计的工程人员，</w:t>
            </w:r>
            <w:r w:rsidR="00A23936">
              <w:rPr>
                <w:rFonts w:hAnsiTheme="minorEastAsia"/>
                <w:iCs/>
                <w:sz w:val="24"/>
              </w:rPr>
              <w:t>其中高级工程师</w:t>
            </w:r>
            <w:r w:rsidR="00EA794A">
              <w:rPr>
                <w:rFonts w:hAnsiTheme="minorEastAsia" w:hint="eastAsia"/>
                <w:iCs/>
                <w:sz w:val="24"/>
              </w:rPr>
              <w:t>1</w:t>
            </w:r>
            <w:r w:rsidR="00EA794A">
              <w:rPr>
                <w:rFonts w:hAnsiTheme="minorEastAsia"/>
                <w:iCs/>
                <w:sz w:val="24"/>
              </w:rPr>
              <w:t>4人，博士</w:t>
            </w:r>
            <w:r w:rsidR="00EA794A">
              <w:rPr>
                <w:rFonts w:hAnsiTheme="minorEastAsia" w:hint="eastAsia"/>
                <w:iCs/>
                <w:sz w:val="24"/>
              </w:rPr>
              <w:t>3人，硕士</w:t>
            </w:r>
            <w:r w:rsidR="00A15AAE">
              <w:rPr>
                <w:rFonts w:hAnsiTheme="minorEastAsia" w:hint="eastAsia"/>
                <w:iCs/>
                <w:sz w:val="24"/>
              </w:rPr>
              <w:t>7人</w:t>
            </w:r>
            <w:r w:rsidR="005D26EF">
              <w:rPr>
                <w:rFonts w:hAnsiTheme="minorEastAsia" w:hint="eastAsia"/>
                <w:iCs/>
                <w:sz w:val="24"/>
              </w:rPr>
              <w:t>。</w:t>
            </w:r>
          </w:p>
          <w:p w:rsidR="009E44F6" w:rsidRPr="002400F6" w:rsidRDefault="00E41420" w:rsidP="003D7B81">
            <w:pPr>
              <w:spacing w:line="276" w:lineRule="auto"/>
              <w:ind w:firstLineChars="200" w:firstLine="480"/>
              <w:rPr>
                <w:rFonts w:hAnsiTheme="minorEastAsia" w:hint="eastAsia"/>
                <w:iCs/>
                <w:sz w:val="24"/>
              </w:rPr>
            </w:pPr>
            <w:r w:rsidRPr="002400F6">
              <w:rPr>
                <w:rFonts w:hAnsiTheme="minorEastAsia" w:hint="eastAsia"/>
                <w:iCs/>
                <w:sz w:val="24"/>
              </w:rPr>
              <w:t>研发团队</w:t>
            </w:r>
            <w:r w:rsidR="00DE099C" w:rsidRPr="002400F6">
              <w:rPr>
                <w:rFonts w:hAnsiTheme="minorEastAsia" w:hint="eastAsia"/>
                <w:iCs/>
                <w:sz w:val="24"/>
              </w:rPr>
              <w:t>已成功</w:t>
            </w:r>
            <w:r w:rsidR="00265924" w:rsidRPr="002400F6">
              <w:rPr>
                <w:rFonts w:hAnsiTheme="minorEastAsia" w:hint="eastAsia"/>
                <w:iCs/>
                <w:sz w:val="24"/>
              </w:rPr>
              <w:t>研发</w:t>
            </w:r>
            <w:r w:rsidR="00DE099C" w:rsidRPr="002400F6">
              <w:rPr>
                <w:rFonts w:hAnsiTheme="minorEastAsia" w:hint="eastAsia"/>
                <w:iCs/>
                <w:sz w:val="24"/>
              </w:rPr>
              <w:t>国内首台（套）5t</w:t>
            </w:r>
            <w:r w:rsidR="00DE099C" w:rsidRPr="002400F6">
              <w:rPr>
                <w:rFonts w:hAnsiTheme="minorEastAsia"/>
                <w:iCs/>
                <w:sz w:val="24"/>
              </w:rPr>
              <w:t>/h船用甲醇双燃料</w:t>
            </w:r>
            <w:r w:rsidR="00E07BB5" w:rsidRPr="002400F6">
              <w:rPr>
                <w:rFonts w:hAnsiTheme="minorEastAsia"/>
                <w:iCs/>
                <w:sz w:val="24"/>
              </w:rPr>
              <w:t>辅锅炉</w:t>
            </w:r>
            <w:r w:rsidR="00005075" w:rsidRPr="002400F6">
              <w:rPr>
                <w:rFonts w:hAnsiTheme="minorEastAsia" w:hint="eastAsia"/>
                <w:iCs/>
                <w:sz w:val="24"/>
              </w:rPr>
              <w:t>。</w:t>
            </w:r>
            <w:r w:rsidR="00E07BB5" w:rsidRPr="002400F6">
              <w:rPr>
                <w:rFonts w:hAnsiTheme="minorEastAsia"/>
                <w:iCs/>
                <w:sz w:val="24"/>
              </w:rPr>
              <w:t>在此为基础上，依托工信部</w:t>
            </w:r>
            <w:r w:rsidR="00307F54" w:rsidRPr="002400F6">
              <w:rPr>
                <w:rFonts w:hAnsiTheme="minorEastAsia"/>
                <w:iCs/>
                <w:sz w:val="24"/>
              </w:rPr>
              <w:t>“</w:t>
            </w:r>
            <w:r w:rsidR="00E07BB5" w:rsidRPr="002400F6">
              <w:rPr>
                <w:rFonts w:hAnsiTheme="minorEastAsia"/>
                <w:iCs/>
                <w:sz w:val="24"/>
              </w:rPr>
              <w:t>船用</w:t>
            </w:r>
            <w:r w:rsidR="00AC2C4F" w:rsidRPr="002400F6">
              <w:rPr>
                <w:rFonts w:hAnsiTheme="minorEastAsia"/>
                <w:iCs/>
                <w:sz w:val="24"/>
              </w:rPr>
              <w:t>甲醇燃料锅炉研制</w:t>
            </w:r>
            <w:r w:rsidR="00E07BB5" w:rsidRPr="002400F6">
              <w:rPr>
                <w:rFonts w:hAnsiTheme="minorEastAsia"/>
                <w:iCs/>
                <w:sz w:val="24"/>
              </w:rPr>
              <w:t>”</w:t>
            </w:r>
            <w:r w:rsidR="00AC2C4F" w:rsidRPr="002400F6">
              <w:rPr>
                <w:rFonts w:hAnsiTheme="minorEastAsia"/>
                <w:iCs/>
                <w:sz w:val="24"/>
              </w:rPr>
              <w:t>项目，进一步针对</w:t>
            </w:r>
            <w:r w:rsidR="00AC2C4F" w:rsidRPr="002400F6">
              <w:rPr>
                <w:rFonts w:hAnsiTheme="minorEastAsia" w:hint="eastAsia"/>
                <w:iCs/>
                <w:sz w:val="24"/>
              </w:rPr>
              <w:t>V</w:t>
            </w:r>
            <w:r w:rsidR="00AC2C4F" w:rsidRPr="002400F6">
              <w:rPr>
                <w:rFonts w:hAnsiTheme="minorEastAsia"/>
                <w:iCs/>
                <w:sz w:val="24"/>
              </w:rPr>
              <w:t>LCC船舶</w:t>
            </w:r>
            <w:r w:rsidR="00265924" w:rsidRPr="002400F6">
              <w:rPr>
                <w:rFonts w:hAnsiTheme="minorEastAsia"/>
                <w:iCs/>
                <w:sz w:val="24"/>
              </w:rPr>
              <w:t>研发</w:t>
            </w:r>
            <w:r w:rsidR="00CC706E" w:rsidRPr="002400F6">
              <w:rPr>
                <w:rFonts w:hAnsiTheme="minorEastAsia" w:hint="eastAsia"/>
                <w:iCs/>
                <w:sz w:val="24"/>
              </w:rPr>
              <w:t>4</w:t>
            </w:r>
            <w:r w:rsidR="00CC706E" w:rsidRPr="002400F6">
              <w:rPr>
                <w:rFonts w:hAnsiTheme="minorEastAsia"/>
                <w:iCs/>
                <w:sz w:val="24"/>
              </w:rPr>
              <w:t>5t/h</w:t>
            </w:r>
            <w:r w:rsidR="00656724" w:rsidRPr="002400F6">
              <w:rPr>
                <w:rFonts w:hAnsiTheme="minorEastAsia"/>
                <w:iCs/>
                <w:sz w:val="24"/>
              </w:rPr>
              <w:t>船用甲醇双燃料辅锅炉。</w:t>
            </w:r>
            <w:r w:rsidR="006D5AA8">
              <w:rPr>
                <w:rFonts w:hAnsiTheme="minorEastAsia"/>
                <w:iCs/>
                <w:sz w:val="24"/>
              </w:rPr>
              <w:t>在</w:t>
            </w:r>
            <w:r w:rsidR="006D5AA8">
              <w:rPr>
                <w:rFonts w:hAnsiTheme="minorEastAsia"/>
                <w:iCs/>
                <w:sz w:val="24"/>
              </w:rPr>
              <w:t>船用甲醇双燃料辅锅炉及其相关技术</w:t>
            </w:r>
            <w:r w:rsidR="006D5AA8">
              <w:rPr>
                <w:rFonts w:hAnsiTheme="minorEastAsia"/>
                <w:iCs/>
                <w:sz w:val="24"/>
              </w:rPr>
              <w:t>领域，已</w:t>
            </w:r>
            <w:r w:rsidR="00E04F7D">
              <w:rPr>
                <w:rFonts w:hAnsiTheme="minorEastAsia"/>
                <w:iCs/>
                <w:sz w:val="24"/>
              </w:rPr>
              <w:t>获受理发明专利</w:t>
            </w:r>
            <w:r w:rsidR="00E04F7D">
              <w:rPr>
                <w:rFonts w:hAnsiTheme="minorEastAsia" w:hint="eastAsia"/>
                <w:iCs/>
                <w:sz w:val="24"/>
              </w:rPr>
              <w:t>4项，</w:t>
            </w:r>
            <w:r w:rsidR="00FF60BD">
              <w:rPr>
                <w:rFonts w:hAnsiTheme="minorEastAsia" w:hint="eastAsia"/>
                <w:iCs/>
                <w:sz w:val="24"/>
              </w:rPr>
              <w:t>发表论文</w:t>
            </w:r>
            <w:r w:rsidR="00FF60BD">
              <w:rPr>
                <w:rFonts w:hAnsiTheme="minorEastAsia"/>
                <w:iCs/>
                <w:sz w:val="24"/>
              </w:rPr>
              <w:t>3</w:t>
            </w:r>
            <w:r w:rsidR="00FF60BD">
              <w:rPr>
                <w:rFonts w:hAnsiTheme="minorEastAsia" w:hint="eastAsia"/>
                <w:iCs/>
                <w:sz w:val="24"/>
              </w:rPr>
              <w:t>篇。</w:t>
            </w:r>
            <w:r w:rsidR="00656724" w:rsidRPr="002400F6">
              <w:rPr>
                <w:rFonts w:hAnsiTheme="minorEastAsia"/>
                <w:iCs/>
                <w:sz w:val="24"/>
              </w:rPr>
              <w:t>在船用甲醇双燃料辅锅炉方面</w:t>
            </w:r>
            <w:r w:rsidR="00986C55" w:rsidRPr="002400F6">
              <w:rPr>
                <w:rFonts w:hAnsiTheme="minorEastAsia" w:hint="eastAsia"/>
                <w:iCs/>
                <w:sz w:val="24"/>
              </w:rPr>
              <w:t>，</w:t>
            </w:r>
            <w:r w:rsidR="00986C55" w:rsidRPr="002400F6">
              <w:rPr>
                <w:rFonts w:hAnsiTheme="minorEastAsia"/>
                <w:iCs/>
                <w:sz w:val="24"/>
              </w:rPr>
              <w:t>研发团队</w:t>
            </w:r>
            <w:r w:rsidR="005D26EF">
              <w:rPr>
                <w:rFonts w:hAnsiTheme="minorEastAsia"/>
                <w:iCs/>
                <w:sz w:val="24"/>
              </w:rPr>
              <w:t>已</w:t>
            </w:r>
            <w:r w:rsidR="00656724" w:rsidRPr="002400F6">
              <w:rPr>
                <w:rFonts w:hAnsiTheme="minorEastAsia"/>
                <w:iCs/>
                <w:sz w:val="24"/>
              </w:rPr>
              <w:t>具有一定的技术基础和工程经验。</w:t>
            </w:r>
          </w:p>
        </w:tc>
      </w:tr>
      <w:tr w:rsidR="00C3423D" w:rsidTr="00A74A7E">
        <w:trPr>
          <w:trHeight w:val="1124"/>
          <w:jc w:val="center"/>
        </w:trPr>
        <w:tc>
          <w:tcPr>
            <w:tcW w:w="1193" w:type="pct"/>
            <w:vAlign w:val="center"/>
          </w:tcPr>
          <w:p w:rsidR="00C3423D" w:rsidRDefault="00C3423D" w:rsidP="007165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</w:t>
            </w:r>
          </w:p>
          <w:p w:rsidR="00C3423D" w:rsidRDefault="00C3423D" w:rsidP="007165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807" w:type="pct"/>
            <w:gridSpan w:val="4"/>
            <w:vAlign w:val="bottom"/>
          </w:tcPr>
          <w:p w:rsidR="00C3423D" w:rsidRDefault="00C3423D" w:rsidP="0071653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:rsidR="00C3423D" w:rsidRDefault="00C3423D" w:rsidP="00716538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:rsidR="005E7D40" w:rsidRPr="00C3423D" w:rsidRDefault="00C3423D" w:rsidP="00C3423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5E7D40" w:rsidRPr="00C34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487" w:rsidRDefault="00927487" w:rsidP="00C3423D">
      <w:r>
        <w:separator/>
      </w:r>
    </w:p>
  </w:endnote>
  <w:endnote w:type="continuationSeparator" w:id="0">
    <w:p w:rsidR="00927487" w:rsidRDefault="00927487" w:rsidP="00C3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Arial Unicode MS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487" w:rsidRDefault="00927487" w:rsidP="00C3423D">
      <w:r>
        <w:separator/>
      </w:r>
    </w:p>
  </w:footnote>
  <w:footnote w:type="continuationSeparator" w:id="0">
    <w:p w:rsidR="00927487" w:rsidRDefault="00927487" w:rsidP="00C34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F649D"/>
    <w:multiLevelType w:val="hybridMultilevel"/>
    <w:tmpl w:val="6BBC93AA"/>
    <w:lvl w:ilvl="0" w:tplc="4C944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05075"/>
    <w:rsid w:val="0001660D"/>
    <w:rsid w:val="00026A9C"/>
    <w:rsid w:val="00044263"/>
    <w:rsid w:val="000925D6"/>
    <w:rsid w:val="00096B2A"/>
    <w:rsid w:val="000A464E"/>
    <w:rsid w:val="000A67A1"/>
    <w:rsid w:val="000E3B01"/>
    <w:rsid w:val="00181026"/>
    <w:rsid w:val="001E370E"/>
    <w:rsid w:val="001E485D"/>
    <w:rsid w:val="00205AA4"/>
    <w:rsid w:val="00206503"/>
    <w:rsid w:val="00207954"/>
    <w:rsid w:val="00214096"/>
    <w:rsid w:val="002172F8"/>
    <w:rsid w:val="002336F8"/>
    <w:rsid w:val="002400F6"/>
    <w:rsid w:val="002416D4"/>
    <w:rsid w:val="0024452D"/>
    <w:rsid w:val="002619D9"/>
    <w:rsid w:val="00265924"/>
    <w:rsid w:val="00272809"/>
    <w:rsid w:val="0028027E"/>
    <w:rsid w:val="002A3DCC"/>
    <w:rsid w:val="002C45F2"/>
    <w:rsid w:val="002F280E"/>
    <w:rsid w:val="00307F54"/>
    <w:rsid w:val="0035140D"/>
    <w:rsid w:val="003871A2"/>
    <w:rsid w:val="003D7B81"/>
    <w:rsid w:val="003F0075"/>
    <w:rsid w:val="003F0615"/>
    <w:rsid w:val="00410CCF"/>
    <w:rsid w:val="0043208E"/>
    <w:rsid w:val="00437EB9"/>
    <w:rsid w:val="0044621A"/>
    <w:rsid w:val="004506F9"/>
    <w:rsid w:val="0045737A"/>
    <w:rsid w:val="00493D19"/>
    <w:rsid w:val="004A6F4D"/>
    <w:rsid w:val="004B2227"/>
    <w:rsid w:val="004B4649"/>
    <w:rsid w:val="004C6B79"/>
    <w:rsid w:val="004E1BA6"/>
    <w:rsid w:val="004F6FA9"/>
    <w:rsid w:val="00505991"/>
    <w:rsid w:val="0054273D"/>
    <w:rsid w:val="00544421"/>
    <w:rsid w:val="00585C4C"/>
    <w:rsid w:val="00587CAE"/>
    <w:rsid w:val="00597393"/>
    <w:rsid w:val="005B3837"/>
    <w:rsid w:val="005D26EF"/>
    <w:rsid w:val="005D2ECD"/>
    <w:rsid w:val="005E7D40"/>
    <w:rsid w:val="006031F2"/>
    <w:rsid w:val="00606F5F"/>
    <w:rsid w:val="006342C6"/>
    <w:rsid w:val="006369A0"/>
    <w:rsid w:val="006470C9"/>
    <w:rsid w:val="00656724"/>
    <w:rsid w:val="00675264"/>
    <w:rsid w:val="006771A0"/>
    <w:rsid w:val="006848FF"/>
    <w:rsid w:val="00696EA8"/>
    <w:rsid w:val="006C52B6"/>
    <w:rsid w:val="006D5AA8"/>
    <w:rsid w:val="006F5FB2"/>
    <w:rsid w:val="007073F8"/>
    <w:rsid w:val="00713829"/>
    <w:rsid w:val="00716923"/>
    <w:rsid w:val="007262E0"/>
    <w:rsid w:val="00727E37"/>
    <w:rsid w:val="00735464"/>
    <w:rsid w:val="00795FD4"/>
    <w:rsid w:val="007A1EFB"/>
    <w:rsid w:val="007A40D5"/>
    <w:rsid w:val="007B6215"/>
    <w:rsid w:val="007C3F6A"/>
    <w:rsid w:val="007D3FFB"/>
    <w:rsid w:val="007D59F7"/>
    <w:rsid w:val="008064DA"/>
    <w:rsid w:val="00826A32"/>
    <w:rsid w:val="00837D5D"/>
    <w:rsid w:val="00842C1A"/>
    <w:rsid w:val="008661ED"/>
    <w:rsid w:val="00896FB4"/>
    <w:rsid w:val="008A55CC"/>
    <w:rsid w:val="008B021E"/>
    <w:rsid w:val="008D72A8"/>
    <w:rsid w:val="008E1A9B"/>
    <w:rsid w:val="008E2D87"/>
    <w:rsid w:val="008E428D"/>
    <w:rsid w:val="00915110"/>
    <w:rsid w:val="00921F58"/>
    <w:rsid w:val="009232B7"/>
    <w:rsid w:val="00927487"/>
    <w:rsid w:val="00935E98"/>
    <w:rsid w:val="00952FED"/>
    <w:rsid w:val="009731B2"/>
    <w:rsid w:val="0098087C"/>
    <w:rsid w:val="00985C9B"/>
    <w:rsid w:val="00986C55"/>
    <w:rsid w:val="00991FEE"/>
    <w:rsid w:val="009A4D81"/>
    <w:rsid w:val="009D57ED"/>
    <w:rsid w:val="009E44F6"/>
    <w:rsid w:val="00A15AAE"/>
    <w:rsid w:val="00A16B9E"/>
    <w:rsid w:val="00A23936"/>
    <w:rsid w:val="00A31C62"/>
    <w:rsid w:val="00A47AC4"/>
    <w:rsid w:val="00A52597"/>
    <w:rsid w:val="00A65E1A"/>
    <w:rsid w:val="00A74A7E"/>
    <w:rsid w:val="00A81713"/>
    <w:rsid w:val="00A9004E"/>
    <w:rsid w:val="00AA461E"/>
    <w:rsid w:val="00AC245F"/>
    <w:rsid w:val="00AC2C4F"/>
    <w:rsid w:val="00AF41A4"/>
    <w:rsid w:val="00B179E9"/>
    <w:rsid w:val="00B439F8"/>
    <w:rsid w:val="00B55869"/>
    <w:rsid w:val="00B609D1"/>
    <w:rsid w:val="00B650BB"/>
    <w:rsid w:val="00B858D6"/>
    <w:rsid w:val="00B9545E"/>
    <w:rsid w:val="00BB3C16"/>
    <w:rsid w:val="00BB593E"/>
    <w:rsid w:val="00BC1C4B"/>
    <w:rsid w:val="00BD2772"/>
    <w:rsid w:val="00BF659F"/>
    <w:rsid w:val="00C3423D"/>
    <w:rsid w:val="00C43342"/>
    <w:rsid w:val="00C642F1"/>
    <w:rsid w:val="00CB4D7A"/>
    <w:rsid w:val="00CB7DAE"/>
    <w:rsid w:val="00CC5582"/>
    <w:rsid w:val="00CC706E"/>
    <w:rsid w:val="00CE05CA"/>
    <w:rsid w:val="00D351D3"/>
    <w:rsid w:val="00D4084C"/>
    <w:rsid w:val="00D73B84"/>
    <w:rsid w:val="00D84F02"/>
    <w:rsid w:val="00D877BE"/>
    <w:rsid w:val="00D901C9"/>
    <w:rsid w:val="00DA563B"/>
    <w:rsid w:val="00DB0869"/>
    <w:rsid w:val="00DC4DB1"/>
    <w:rsid w:val="00DC519E"/>
    <w:rsid w:val="00DE099C"/>
    <w:rsid w:val="00DE12F5"/>
    <w:rsid w:val="00E0232C"/>
    <w:rsid w:val="00E04F7D"/>
    <w:rsid w:val="00E07BB5"/>
    <w:rsid w:val="00E127F2"/>
    <w:rsid w:val="00E32AE3"/>
    <w:rsid w:val="00E41420"/>
    <w:rsid w:val="00E50569"/>
    <w:rsid w:val="00E55048"/>
    <w:rsid w:val="00E76FCE"/>
    <w:rsid w:val="00EA794A"/>
    <w:rsid w:val="00EB3B78"/>
    <w:rsid w:val="00EC00C1"/>
    <w:rsid w:val="00EC1447"/>
    <w:rsid w:val="00EC1BDD"/>
    <w:rsid w:val="00ED0C62"/>
    <w:rsid w:val="00ED7372"/>
    <w:rsid w:val="00EF083F"/>
    <w:rsid w:val="00F46281"/>
    <w:rsid w:val="00F5500C"/>
    <w:rsid w:val="00F72412"/>
    <w:rsid w:val="00F81C89"/>
    <w:rsid w:val="00FA0113"/>
    <w:rsid w:val="00FC22B1"/>
    <w:rsid w:val="00FC7DF1"/>
    <w:rsid w:val="00FF3E1A"/>
    <w:rsid w:val="00FF60BD"/>
    <w:rsid w:val="01D6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B0D872-7809-4EC0-AEAC-1C647C87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342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5">
    <w:name w:val="footer"/>
    <w:basedOn w:val="a"/>
    <w:link w:val="Char0"/>
    <w:uiPriority w:val="99"/>
    <w:unhideWhenUsed/>
    <w:rsid w:val="00C34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CC8EB-9515-4DD9-98DA-63D203F7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2932</TotalTime>
  <Pages>3</Pages>
  <Words>301</Words>
  <Characters>1717</Characters>
  <Application>Microsoft Office Word</Application>
  <DocSecurity>0</DocSecurity>
  <Lines>14</Lines>
  <Paragraphs>4</Paragraphs>
  <ScaleCrop>false</ScaleCrop>
  <Company>Microsoft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梅文清</cp:lastModifiedBy>
  <cp:revision>287</cp:revision>
  <dcterms:created xsi:type="dcterms:W3CDTF">2025-04-16T07:47:00Z</dcterms:created>
  <dcterms:modified xsi:type="dcterms:W3CDTF">2025-05-06T07:30:00Z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